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08" w:rsidRPr="00894A73" w:rsidRDefault="00232008" w:rsidP="00232008">
      <w:pPr>
        <w:keepNext/>
        <w:jc w:val="center"/>
        <w:outlineLvl w:val="2"/>
        <w:rPr>
          <w:b/>
          <w:bCs/>
          <w:i/>
          <w:iCs/>
          <w:sz w:val="20"/>
          <w:szCs w:val="20"/>
        </w:rPr>
      </w:pPr>
      <w:bookmarkStart w:id="0" w:name="_Toc151563981"/>
      <w:bookmarkStart w:id="1" w:name="_Toc90910505"/>
      <w:r w:rsidRPr="00894A73">
        <w:rPr>
          <w:b/>
          <w:bCs/>
          <w:i/>
          <w:iCs/>
          <w:sz w:val="20"/>
          <w:szCs w:val="20"/>
        </w:rPr>
        <w:t>ЗАЯВЛЕНИЕ НА ОКАЗАНИЕ УСЛУГ</w:t>
      </w:r>
      <w:bookmarkEnd w:id="0"/>
    </w:p>
    <w:p w:rsidR="00232008" w:rsidRPr="00894A73" w:rsidRDefault="00232008" w:rsidP="00232008">
      <w:pPr>
        <w:spacing w:after="120" w:line="276" w:lineRule="auto"/>
        <w:jc w:val="right"/>
        <w:rPr>
          <w:b/>
          <w:i/>
          <w:sz w:val="20"/>
          <w:szCs w:val="22"/>
        </w:rPr>
      </w:pPr>
    </w:p>
    <w:tbl>
      <w:tblPr>
        <w:tblW w:w="9214" w:type="dxa"/>
        <w:tblLayout w:type="fixed"/>
        <w:tblLook w:val="04A0" w:firstRow="1" w:lastRow="0" w:firstColumn="1" w:lastColumn="0" w:noHBand="0" w:noVBand="1"/>
      </w:tblPr>
      <w:tblGrid>
        <w:gridCol w:w="9214"/>
      </w:tblGrid>
      <w:tr w:rsidR="00232008" w:rsidRPr="00894A73" w:rsidTr="00D62C55">
        <w:trPr>
          <w:trHeight w:val="167"/>
        </w:trPr>
        <w:tc>
          <w:tcPr>
            <w:tcW w:w="9214" w:type="dxa"/>
            <w:tcBorders>
              <w:top w:val="single" w:sz="4" w:space="0" w:color="auto"/>
              <w:left w:val="nil"/>
              <w:bottom w:val="nil"/>
              <w:right w:val="nil"/>
            </w:tcBorders>
            <w:hideMark/>
          </w:tcPr>
          <w:p w:rsidR="00232008" w:rsidRPr="00894A73" w:rsidRDefault="00232008" w:rsidP="00D62C55">
            <w:pPr>
              <w:spacing w:after="200" w:line="276" w:lineRule="auto"/>
              <w:jc w:val="center"/>
              <w:rPr>
                <w:rFonts w:ascii="Century Schoolbook" w:hAnsi="Century Schoolbook"/>
                <w:b/>
                <w:bCs/>
                <w:i/>
                <w:sz w:val="14"/>
                <w:szCs w:val="14"/>
              </w:rPr>
            </w:pPr>
            <w:r w:rsidRPr="00894A73">
              <w:rPr>
                <w:rFonts w:ascii="Century Schoolbook" w:hAnsi="Century Schoolbook"/>
                <w:b/>
                <w:bCs/>
                <w:i/>
                <w:sz w:val="14"/>
                <w:szCs w:val="14"/>
              </w:rPr>
              <w:t>Полное наименование юридического лица/индивидуального предпринимателя (далее – Клиент)</w:t>
            </w:r>
          </w:p>
        </w:tc>
      </w:tr>
      <w:tr w:rsidR="00232008" w:rsidRPr="00894A73" w:rsidTr="00232008">
        <w:trPr>
          <w:trHeight w:val="74"/>
        </w:trPr>
        <w:tc>
          <w:tcPr>
            <w:tcW w:w="9214" w:type="dxa"/>
            <w:tcBorders>
              <w:bottom w:val="single" w:sz="4" w:space="0" w:color="auto"/>
            </w:tcBorders>
            <w:hideMark/>
          </w:tcPr>
          <w:p w:rsidR="00232008" w:rsidRPr="00894A73" w:rsidRDefault="00232008" w:rsidP="00D62C55">
            <w:pPr>
              <w:spacing w:after="200" w:line="276" w:lineRule="auto"/>
              <w:rPr>
                <w:rFonts w:ascii="Century Schoolbook" w:hAnsi="Century Schoolbook"/>
                <w:b/>
                <w:bCs/>
                <w:sz w:val="22"/>
                <w:szCs w:val="22"/>
              </w:rPr>
            </w:pPr>
          </w:p>
        </w:tc>
      </w:tr>
      <w:tr w:rsidR="00232008" w:rsidRPr="00894A73" w:rsidTr="00D62C55">
        <w:trPr>
          <w:trHeight w:val="100"/>
        </w:trPr>
        <w:tc>
          <w:tcPr>
            <w:tcW w:w="9214" w:type="dxa"/>
            <w:tcBorders>
              <w:top w:val="single" w:sz="4" w:space="0" w:color="auto"/>
              <w:left w:val="nil"/>
              <w:right w:val="nil"/>
            </w:tcBorders>
            <w:hideMark/>
          </w:tcPr>
          <w:p w:rsidR="00232008" w:rsidRPr="00894A73" w:rsidRDefault="00232008" w:rsidP="00D62C55">
            <w:pPr>
              <w:spacing w:line="276" w:lineRule="auto"/>
              <w:jc w:val="center"/>
              <w:rPr>
                <w:rFonts w:ascii="Century Schoolbook" w:hAnsi="Century Schoolbook"/>
                <w:b/>
                <w:bCs/>
                <w:i/>
                <w:sz w:val="14"/>
                <w:szCs w:val="14"/>
              </w:rPr>
            </w:pPr>
            <w:r w:rsidRPr="00894A73">
              <w:rPr>
                <w:rFonts w:ascii="Century Schoolbook" w:hAnsi="Century Schoolbook"/>
                <w:b/>
                <w:bCs/>
                <w:i/>
                <w:sz w:val="14"/>
                <w:szCs w:val="14"/>
              </w:rPr>
              <w:t>ИНН Клиента</w:t>
            </w:r>
            <w:r w:rsidRPr="00894A73">
              <w:rPr>
                <w:rFonts w:ascii="Century Schoolbook" w:hAnsi="Century Schoolbook"/>
                <w:b/>
                <w:bCs/>
                <w:i/>
                <w:sz w:val="22"/>
                <w:szCs w:val="22"/>
              </w:rPr>
              <w:t xml:space="preserve"> </w:t>
            </w:r>
          </w:p>
        </w:tc>
      </w:tr>
      <w:tr w:rsidR="00232008" w:rsidRPr="00894A73" w:rsidTr="00D62C55">
        <w:trPr>
          <w:trHeight w:val="80"/>
        </w:trPr>
        <w:tc>
          <w:tcPr>
            <w:tcW w:w="9214" w:type="dxa"/>
            <w:tcBorders>
              <w:left w:val="nil"/>
              <w:bottom w:val="nil"/>
              <w:right w:val="nil"/>
            </w:tcBorders>
          </w:tcPr>
          <w:p w:rsidR="00232008" w:rsidRPr="00894A73" w:rsidRDefault="00232008" w:rsidP="00D62C55">
            <w:pPr>
              <w:spacing w:line="276" w:lineRule="auto"/>
              <w:rPr>
                <w:rFonts w:ascii="Century Schoolbook" w:hAnsi="Century Schoolbook"/>
                <w:b/>
                <w:sz w:val="2"/>
                <w:szCs w:val="16"/>
              </w:rPr>
            </w:pPr>
          </w:p>
        </w:tc>
      </w:tr>
    </w:tbl>
    <w:p w:rsidR="00232008" w:rsidRPr="00894A73" w:rsidRDefault="00232008" w:rsidP="00232008">
      <w:pPr>
        <w:numPr>
          <w:ilvl w:val="0"/>
          <w:numId w:val="7"/>
        </w:numPr>
        <w:shd w:val="clear" w:color="auto" w:fill="C2D69B"/>
        <w:tabs>
          <w:tab w:val="left" w:pos="284"/>
        </w:tabs>
        <w:spacing w:after="200" w:line="276" w:lineRule="auto"/>
        <w:ind w:left="-284" w:hanging="283"/>
        <w:contextualSpacing/>
        <w:jc w:val="both"/>
        <w:rPr>
          <w:b/>
          <w:sz w:val="18"/>
          <w:szCs w:val="18"/>
        </w:rPr>
      </w:pPr>
      <w:r w:rsidRPr="00894A73">
        <w:rPr>
          <w:b/>
          <w:sz w:val="16"/>
          <w:szCs w:val="16"/>
        </w:rPr>
        <w:t>В рамках Услуги «Персональный Комплаенс – консультант в рамках РКО Клиента» просим предоставить услугу:</w:t>
      </w:r>
    </w:p>
    <w:tbl>
      <w:tblPr>
        <w:tblStyle w:val="191"/>
        <w:tblW w:w="10622" w:type="dxa"/>
        <w:tblInd w:w="-572" w:type="dxa"/>
        <w:tblLayout w:type="fixed"/>
        <w:tblLook w:val="04A0" w:firstRow="1" w:lastRow="0" w:firstColumn="1" w:lastColumn="0" w:noHBand="0" w:noVBand="1"/>
      </w:tblPr>
      <w:tblGrid>
        <w:gridCol w:w="1374"/>
        <w:gridCol w:w="8681"/>
        <w:gridCol w:w="567"/>
      </w:tblGrid>
      <w:tr w:rsidR="00754275" w:rsidRPr="00894A73" w:rsidTr="00754275">
        <w:trPr>
          <w:trHeight w:val="185"/>
        </w:trPr>
        <w:tc>
          <w:tcPr>
            <w:tcW w:w="1374" w:type="dxa"/>
            <w:vMerge w:val="restart"/>
            <w:tcBorders>
              <w:top w:val="single" w:sz="12" w:space="0" w:color="auto"/>
              <w:left w:val="single" w:sz="12" w:space="0" w:color="auto"/>
            </w:tcBorders>
            <w:vAlign w:val="center"/>
          </w:tcPr>
          <w:p w:rsidR="00754275" w:rsidRPr="00894A73" w:rsidRDefault="00754275" w:rsidP="00FC64F0">
            <w:pPr>
              <w:rPr>
                <w:rFonts w:eastAsia="Calibri"/>
                <w:bCs/>
                <w:sz w:val="16"/>
                <w:szCs w:val="16"/>
                <w:lang w:eastAsia="en-US"/>
              </w:rPr>
            </w:pPr>
            <w:r w:rsidRPr="00894A73">
              <w:rPr>
                <w:rFonts w:eastAsia="Calibri"/>
                <w:bCs/>
                <w:sz w:val="16"/>
                <w:szCs w:val="16"/>
                <w:lang w:eastAsia="en-US"/>
              </w:rPr>
              <w:t>В рамках пакета РКО «Комплаенс Ассистент»</w:t>
            </w:r>
          </w:p>
        </w:tc>
        <w:tc>
          <w:tcPr>
            <w:tcW w:w="8681" w:type="dxa"/>
            <w:tcBorders>
              <w:top w:val="single" w:sz="12" w:space="0" w:color="auto"/>
            </w:tcBorders>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Проверка репутации контрагентов – резидентов</w:t>
            </w:r>
            <w:bookmarkStart w:id="2" w:name="_Ref64564521"/>
            <w:r w:rsidRPr="00894A73">
              <w:rPr>
                <w:rFonts w:eastAsia="Calibri"/>
                <w:color w:val="000000"/>
                <w:sz w:val="16"/>
                <w:szCs w:val="16"/>
                <w:vertAlign w:val="superscript"/>
                <w:lang w:eastAsia="en-US"/>
              </w:rPr>
              <w:footnoteReference w:id="1"/>
            </w:r>
            <w:bookmarkEnd w:id="2"/>
            <w:r w:rsidRPr="00894A73">
              <w:rPr>
                <w:rFonts w:eastAsia="Calibri"/>
                <w:color w:val="000000"/>
                <w:sz w:val="16"/>
                <w:szCs w:val="16"/>
                <w:lang w:eastAsia="en-US"/>
              </w:rPr>
              <w:t xml:space="preserve"> (автоматизированный отчет)</w:t>
            </w:r>
          </w:p>
        </w:tc>
        <w:tc>
          <w:tcPr>
            <w:tcW w:w="567" w:type="dxa"/>
            <w:tcBorders>
              <w:top w:val="single" w:sz="12" w:space="0" w:color="auto"/>
              <w:right w:val="single" w:sz="12" w:space="0" w:color="auto"/>
            </w:tcBorders>
            <w:vAlign w:val="center"/>
          </w:tcPr>
          <w:p w:rsidR="00754275" w:rsidRPr="00894A73" w:rsidRDefault="00754275" w:rsidP="00754275">
            <w:pPr>
              <w:numPr>
                <w:ilvl w:val="0"/>
                <w:numId w:val="5"/>
              </w:numPr>
              <w:tabs>
                <w:tab w:val="num" w:pos="313"/>
              </w:tabs>
              <w:ind w:left="720" w:hanging="544"/>
              <w:contextualSpacing/>
              <w:jc w:val="center"/>
              <w:rPr>
                <w:rFonts w:ascii="Calibri" w:eastAsia="Calibri" w:hAnsi="Calibri"/>
                <w:sz w:val="16"/>
                <w:szCs w:val="22"/>
                <w:lang w:eastAsia="en-US"/>
              </w:rPr>
            </w:pPr>
          </w:p>
        </w:tc>
      </w:tr>
      <w:tr w:rsidR="00754275" w:rsidRPr="00894A73" w:rsidTr="00754275">
        <w:trPr>
          <w:trHeight w:val="301"/>
        </w:trPr>
        <w:tc>
          <w:tcPr>
            <w:tcW w:w="1374" w:type="dxa"/>
            <w:vMerge/>
            <w:tcBorders>
              <w:left w:val="single" w:sz="12" w:space="0" w:color="auto"/>
              <w:bottom w:val="single" w:sz="12" w:space="0" w:color="auto"/>
            </w:tcBorders>
            <w:vAlign w:val="center"/>
          </w:tcPr>
          <w:p w:rsidR="00754275" w:rsidRPr="00894A73" w:rsidRDefault="00754275" w:rsidP="00FC64F0">
            <w:pPr>
              <w:rPr>
                <w:rFonts w:eastAsia="Calibri"/>
                <w:bCs/>
                <w:sz w:val="16"/>
                <w:szCs w:val="16"/>
                <w:lang w:eastAsia="en-US"/>
              </w:rPr>
            </w:pPr>
          </w:p>
        </w:tc>
        <w:tc>
          <w:tcPr>
            <w:tcW w:w="8681" w:type="dxa"/>
            <w:tcBorders>
              <w:bottom w:val="single" w:sz="12" w:space="0" w:color="auto"/>
            </w:tcBorders>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Мониторинг рисков и рекомендации по ведению деятельности клиентов по счету в ПАО «Совкомбанк» (автоматизированный отчет)</w:t>
            </w:r>
          </w:p>
        </w:tc>
        <w:tc>
          <w:tcPr>
            <w:tcW w:w="567" w:type="dxa"/>
            <w:tcBorders>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85"/>
        </w:trPr>
        <w:tc>
          <w:tcPr>
            <w:tcW w:w="1374" w:type="dxa"/>
            <w:vMerge w:val="restart"/>
            <w:tcBorders>
              <w:top w:val="single" w:sz="12" w:space="0" w:color="auto"/>
              <w:left w:val="single" w:sz="12" w:space="0" w:color="auto"/>
            </w:tcBorders>
            <w:vAlign w:val="center"/>
          </w:tcPr>
          <w:p w:rsidR="00754275" w:rsidRPr="00894A73" w:rsidRDefault="00754275" w:rsidP="00FC64F0">
            <w:pPr>
              <w:rPr>
                <w:rFonts w:eastAsia="Calibri"/>
                <w:bCs/>
                <w:sz w:val="16"/>
                <w:szCs w:val="16"/>
                <w:lang w:eastAsia="en-US"/>
              </w:rPr>
            </w:pPr>
            <w:r w:rsidRPr="00894A73">
              <w:rPr>
                <w:rFonts w:eastAsia="Calibri"/>
                <w:bCs/>
                <w:sz w:val="16"/>
                <w:szCs w:val="16"/>
                <w:lang w:eastAsia="en-US"/>
              </w:rPr>
              <w:t xml:space="preserve">В рамках пакета РКО «Комплаенс Ассистент </w:t>
            </w:r>
            <w:r w:rsidRPr="00894A73">
              <w:rPr>
                <w:rFonts w:eastAsia="Calibri"/>
                <w:bCs/>
                <w:sz w:val="16"/>
                <w:szCs w:val="16"/>
                <w:lang w:val="en-US" w:eastAsia="en-US"/>
              </w:rPr>
              <w:t>Pro</w:t>
            </w:r>
            <w:r w:rsidRPr="00894A73">
              <w:rPr>
                <w:rFonts w:eastAsia="Calibri"/>
                <w:bCs/>
                <w:sz w:val="16"/>
                <w:szCs w:val="16"/>
                <w:lang w:eastAsia="en-US"/>
              </w:rPr>
              <w:t xml:space="preserve">» </w:t>
            </w:r>
          </w:p>
        </w:tc>
        <w:tc>
          <w:tcPr>
            <w:tcW w:w="8681" w:type="dxa"/>
            <w:tcBorders>
              <w:top w:val="single" w:sz="12" w:space="0" w:color="auto"/>
            </w:tcBorders>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Проверка репутации контрагентов – резидентов</w:t>
            </w:r>
            <w:r w:rsidRPr="00894A73">
              <w:rPr>
                <w:rFonts w:ascii="Calibri" w:eastAsia="Calibri" w:hAnsi="Calibri"/>
                <w:color w:val="000000"/>
                <w:sz w:val="16"/>
                <w:szCs w:val="16"/>
                <w:vertAlign w:val="superscript"/>
                <w:lang w:eastAsia="en-US"/>
              </w:rPr>
              <w:fldChar w:fldCharType="begin"/>
            </w:r>
            <w:r w:rsidRPr="00894A73">
              <w:rPr>
                <w:rFonts w:eastAsia="Calibri"/>
                <w:color w:val="000000"/>
                <w:sz w:val="16"/>
                <w:szCs w:val="16"/>
                <w:vertAlign w:val="superscript"/>
                <w:lang w:eastAsia="en-US"/>
              </w:rPr>
              <w:instrText xml:space="preserve"> NOTEREF _Ref64564521  \* MERGEFORMAT </w:instrText>
            </w:r>
            <w:r w:rsidRPr="00894A73">
              <w:rPr>
                <w:rFonts w:ascii="Calibri" w:eastAsia="Calibri" w:hAnsi="Calibri"/>
                <w:color w:val="000000"/>
                <w:sz w:val="16"/>
                <w:szCs w:val="16"/>
                <w:vertAlign w:val="superscript"/>
                <w:lang w:eastAsia="en-US"/>
              </w:rPr>
              <w:fldChar w:fldCharType="separate"/>
            </w:r>
            <w:r>
              <w:rPr>
                <w:rFonts w:eastAsia="Calibri"/>
                <w:color w:val="000000"/>
                <w:sz w:val="16"/>
                <w:szCs w:val="16"/>
                <w:vertAlign w:val="superscript"/>
                <w:lang w:eastAsia="en-US"/>
              </w:rPr>
              <w:t>1</w:t>
            </w:r>
            <w:r w:rsidRPr="00894A73">
              <w:rPr>
                <w:rFonts w:ascii="Calibri" w:eastAsia="Calibri" w:hAnsi="Calibri"/>
                <w:color w:val="000000"/>
                <w:sz w:val="16"/>
                <w:szCs w:val="16"/>
                <w:vertAlign w:val="superscript"/>
                <w:lang w:eastAsia="en-US"/>
              </w:rPr>
              <w:fldChar w:fldCharType="end"/>
            </w:r>
            <w:r w:rsidRPr="00894A73">
              <w:rPr>
                <w:rFonts w:eastAsia="Calibri"/>
                <w:color w:val="000000"/>
                <w:sz w:val="16"/>
                <w:szCs w:val="16"/>
                <w:vertAlign w:val="superscript"/>
                <w:lang w:eastAsia="en-US"/>
              </w:rPr>
              <w:t xml:space="preserve"> </w:t>
            </w:r>
            <w:r w:rsidRPr="00894A73">
              <w:rPr>
                <w:rFonts w:eastAsia="Calibri"/>
                <w:color w:val="000000"/>
                <w:sz w:val="16"/>
                <w:szCs w:val="16"/>
                <w:lang w:eastAsia="en-US"/>
              </w:rPr>
              <w:t>(автоматизированный отчет)</w:t>
            </w:r>
          </w:p>
        </w:tc>
        <w:tc>
          <w:tcPr>
            <w:tcW w:w="567" w:type="dxa"/>
            <w:tcBorders>
              <w:top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13"/>
        </w:trPr>
        <w:tc>
          <w:tcPr>
            <w:tcW w:w="1374" w:type="dxa"/>
            <w:vMerge/>
            <w:tcBorders>
              <w:left w:val="single" w:sz="12" w:space="0" w:color="auto"/>
            </w:tcBorders>
            <w:vAlign w:val="center"/>
          </w:tcPr>
          <w:p w:rsidR="00754275" w:rsidRPr="00894A73" w:rsidRDefault="00754275" w:rsidP="00FC64F0">
            <w:pPr>
              <w:rPr>
                <w:rFonts w:eastAsia="Calibri"/>
                <w:sz w:val="16"/>
                <w:szCs w:val="16"/>
                <w:lang w:eastAsia="en-US"/>
              </w:rPr>
            </w:pPr>
          </w:p>
        </w:tc>
        <w:tc>
          <w:tcPr>
            <w:tcW w:w="8681" w:type="dxa"/>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Мониторинг рисков и рекомендации по ведению деятельности клиентов по счету в ПАО «Совкомбанк» (автоматизированный отчет)</w:t>
            </w:r>
          </w:p>
        </w:tc>
        <w:tc>
          <w:tcPr>
            <w:tcW w:w="567" w:type="dxa"/>
            <w:tcBorders>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13"/>
        </w:trPr>
        <w:tc>
          <w:tcPr>
            <w:tcW w:w="1374" w:type="dxa"/>
            <w:vMerge/>
            <w:tcBorders>
              <w:left w:val="single" w:sz="12" w:space="0" w:color="auto"/>
            </w:tcBorders>
            <w:vAlign w:val="center"/>
          </w:tcPr>
          <w:p w:rsidR="00754275" w:rsidRPr="00894A73" w:rsidRDefault="00754275" w:rsidP="00FC64F0">
            <w:pPr>
              <w:rPr>
                <w:rFonts w:eastAsia="Calibri"/>
                <w:sz w:val="16"/>
                <w:szCs w:val="16"/>
                <w:lang w:eastAsia="en-US"/>
              </w:rPr>
            </w:pPr>
          </w:p>
        </w:tc>
        <w:tc>
          <w:tcPr>
            <w:tcW w:w="8681" w:type="dxa"/>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Сопровождение операций клиента (консультации</w:t>
            </w:r>
            <w:r w:rsidRPr="00894A73">
              <w:rPr>
                <w:rFonts w:eastAsia="Calibri"/>
                <w:color w:val="000000"/>
                <w:sz w:val="16"/>
                <w:szCs w:val="16"/>
                <w:vertAlign w:val="superscript"/>
                <w:lang w:eastAsia="en-US"/>
              </w:rPr>
              <w:footnoteReference w:id="2"/>
            </w:r>
            <w:r w:rsidRPr="00894A73">
              <w:rPr>
                <w:rFonts w:eastAsia="Calibri"/>
                <w:color w:val="000000"/>
                <w:sz w:val="16"/>
                <w:szCs w:val="16"/>
                <w:lang w:eastAsia="en-US"/>
              </w:rPr>
              <w:t xml:space="preserve"> эксперта финансового мониторинга при получении запроса в рамках 115-ФЗ</w:t>
            </w:r>
            <w:r w:rsidRPr="00894A73">
              <w:rPr>
                <w:rFonts w:eastAsia="Calibri"/>
                <w:color w:val="000000"/>
                <w:sz w:val="16"/>
                <w:szCs w:val="16"/>
                <w:vertAlign w:val="superscript"/>
                <w:lang w:eastAsia="en-US"/>
              </w:rPr>
              <w:footnoteReference w:id="3"/>
            </w:r>
            <w:r w:rsidRPr="00894A73">
              <w:rPr>
                <w:rFonts w:eastAsia="Calibri"/>
                <w:color w:val="000000"/>
                <w:sz w:val="16"/>
                <w:szCs w:val="16"/>
                <w:lang w:eastAsia="en-US"/>
              </w:rPr>
              <w:t>)</w:t>
            </w:r>
          </w:p>
        </w:tc>
        <w:tc>
          <w:tcPr>
            <w:tcW w:w="567" w:type="dxa"/>
            <w:tcBorders>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13"/>
        </w:trPr>
        <w:tc>
          <w:tcPr>
            <w:tcW w:w="1374" w:type="dxa"/>
            <w:vMerge/>
            <w:tcBorders>
              <w:left w:val="single" w:sz="12" w:space="0" w:color="auto"/>
              <w:bottom w:val="single" w:sz="12" w:space="0" w:color="auto"/>
            </w:tcBorders>
            <w:vAlign w:val="center"/>
          </w:tcPr>
          <w:p w:rsidR="00754275" w:rsidRPr="00894A73" w:rsidRDefault="00754275" w:rsidP="00FC64F0">
            <w:pPr>
              <w:rPr>
                <w:rFonts w:eastAsia="Calibri"/>
                <w:sz w:val="16"/>
                <w:szCs w:val="16"/>
                <w:lang w:eastAsia="en-US"/>
              </w:rPr>
            </w:pPr>
          </w:p>
        </w:tc>
        <w:tc>
          <w:tcPr>
            <w:tcW w:w="8681" w:type="dxa"/>
            <w:tcBorders>
              <w:bottom w:val="single" w:sz="12" w:space="0" w:color="auto"/>
            </w:tcBorders>
            <w:vAlign w:val="center"/>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Предварительная экспертиза сотрудниками финансового мониторинга документов/сделки для оценки рисков проведения операции по счету в ПАО «Совкомбанк»</w:t>
            </w:r>
          </w:p>
        </w:tc>
        <w:tc>
          <w:tcPr>
            <w:tcW w:w="567" w:type="dxa"/>
            <w:tcBorders>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603"/>
        </w:trPr>
        <w:tc>
          <w:tcPr>
            <w:tcW w:w="1374" w:type="dxa"/>
            <w:vMerge w:val="restart"/>
            <w:tcBorders>
              <w:top w:val="single" w:sz="12" w:space="0" w:color="auto"/>
              <w:left w:val="single" w:sz="12" w:space="0" w:color="auto"/>
            </w:tcBorders>
            <w:vAlign w:val="center"/>
          </w:tcPr>
          <w:p w:rsidR="00754275" w:rsidRPr="00894A73" w:rsidRDefault="00754275" w:rsidP="00FC64F0">
            <w:pPr>
              <w:rPr>
                <w:rFonts w:eastAsia="Calibri"/>
                <w:bCs/>
                <w:sz w:val="16"/>
                <w:szCs w:val="16"/>
                <w:lang w:eastAsia="en-US"/>
              </w:rPr>
            </w:pPr>
            <w:r w:rsidRPr="00C8115B">
              <w:rPr>
                <w:rFonts w:eastAsia="Calibri"/>
                <w:bCs/>
                <w:sz w:val="16"/>
                <w:szCs w:val="16"/>
                <w:lang w:eastAsia="en-US"/>
              </w:rPr>
              <w:t>Пакет РКО «Комплаенс Ассистент Ultra»</w:t>
            </w:r>
            <w:r w:rsidRPr="00894A73">
              <w:rPr>
                <w:rFonts w:eastAsia="Calibri"/>
                <w:bCs/>
                <w:sz w:val="16"/>
                <w:szCs w:val="16"/>
                <w:lang w:eastAsia="en-US"/>
              </w:rPr>
              <w:t xml:space="preserve"> </w:t>
            </w:r>
          </w:p>
        </w:tc>
        <w:tc>
          <w:tcPr>
            <w:tcW w:w="8681" w:type="dxa"/>
            <w:tcBorders>
              <w:top w:val="single" w:sz="12" w:space="0" w:color="auto"/>
            </w:tcBorders>
          </w:tcPr>
          <w:p w:rsidR="00754275" w:rsidRDefault="00754275" w:rsidP="00FC64F0">
            <w:pPr>
              <w:rPr>
                <w:rFonts w:eastAsia="Calibri"/>
                <w:bCs/>
                <w:color w:val="000000"/>
                <w:sz w:val="16"/>
                <w:szCs w:val="16"/>
                <w:lang w:eastAsia="en-US"/>
              </w:rPr>
            </w:pPr>
            <w:r w:rsidRPr="00894A73">
              <w:rPr>
                <w:rFonts w:eastAsia="Calibri"/>
                <w:bCs/>
                <w:color w:val="000000"/>
                <w:sz w:val="16"/>
                <w:szCs w:val="16"/>
                <w:lang w:eastAsia="en-US"/>
              </w:rPr>
              <w:t xml:space="preserve">Персональное сопровождение внешнеэкономической деятельности клиента в Банке (с </w:t>
            </w:r>
            <w:r w:rsidRPr="00894A73">
              <w:rPr>
                <w:rFonts w:eastAsia="Calibri"/>
                <w:color w:val="000000"/>
                <w:sz w:val="16"/>
                <w:szCs w:val="16"/>
                <w:lang w:eastAsia="en-US"/>
              </w:rPr>
              <w:t>привлечением экспертов финансового мониторинга и валютного контроля)</w:t>
            </w:r>
            <w:r w:rsidRPr="00894A73">
              <w:rPr>
                <w:rFonts w:eastAsia="Calibri"/>
                <w:bCs/>
                <w:color w:val="000000"/>
                <w:sz w:val="16"/>
                <w:szCs w:val="16"/>
                <w:lang w:eastAsia="en-US"/>
              </w:rPr>
              <w:t xml:space="preserve">: </w:t>
            </w:r>
          </w:p>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 Структурирование сделок, помощь в реализации импортных контрактов, оценка рисков проведения валютной операции;</w:t>
            </w:r>
          </w:p>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 Консультации по вопросам валютного законодательства и помощь в предотвращении его нарушения, выявление и идентификация санкционных рисков;</w:t>
            </w:r>
          </w:p>
          <w:p w:rsidR="00754275" w:rsidRPr="00894A73" w:rsidRDefault="00754275" w:rsidP="00FC64F0">
            <w:pPr>
              <w:rPr>
                <w:rFonts w:eastAsia="Calibri"/>
                <w:bCs/>
                <w:color w:val="000000"/>
                <w:sz w:val="16"/>
                <w:szCs w:val="16"/>
                <w:lang w:eastAsia="en-US"/>
              </w:rPr>
            </w:pPr>
            <w:r w:rsidRPr="00A048BD">
              <w:rPr>
                <w:rFonts w:eastAsia="Calibri"/>
                <w:bCs/>
                <w:color w:val="000000"/>
                <w:sz w:val="16"/>
                <w:szCs w:val="16"/>
                <w:lang w:eastAsia="en-US"/>
              </w:rPr>
              <w:t>- Консультации по вопросам соблюдения контрсанкци</w:t>
            </w:r>
            <w:r w:rsidRPr="000531EC">
              <w:rPr>
                <w:rFonts w:eastAsia="Calibri"/>
                <w:bCs/>
                <w:color w:val="000000"/>
                <w:sz w:val="16"/>
                <w:szCs w:val="16"/>
                <w:lang w:eastAsia="en-US"/>
              </w:rPr>
              <w:t>онных мер Российской Федерации</w:t>
            </w:r>
            <w:r>
              <w:rPr>
                <w:rFonts w:eastAsia="Calibri"/>
                <w:bCs/>
                <w:color w:val="000000"/>
                <w:sz w:val="16"/>
                <w:szCs w:val="16"/>
                <w:lang w:eastAsia="en-US"/>
              </w:rPr>
              <w:t>;</w:t>
            </w:r>
          </w:p>
        </w:tc>
        <w:tc>
          <w:tcPr>
            <w:tcW w:w="567" w:type="dxa"/>
            <w:tcBorders>
              <w:top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85"/>
        </w:trPr>
        <w:tc>
          <w:tcPr>
            <w:tcW w:w="1374" w:type="dxa"/>
            <w:vMerge/>
            <w:tcBorders>
              <w:left w:val="single" w:sz="12" w:space="0" w:color="auto"/>
            </w:tcBorders>
            <w:vAlign w:val="center"/>
          </w:tcPr>
          <w:p w:rsidR="00754275" w:rsidRPr="00894A73" w:rsidRDefault="00754275" w:rsidP="00FC64F0">
            <w:pPr>
              <w:rPr>
                <w:rFonts w:eastAsia="Calibri"/>
                <w:sz w:val="16"/>
                <w:szCs w:val="16"/>
                <w:lang w:eastAsia="en-US"/>
              </w:rPr>
            </w:pPr>
          </w:p>
        </w:tc>
        <w:tc>
          <w:tcPr>
            <w:tcW w:w="8681" w:type="dxa"/>
            <w:tcBorders>
              <w:bottom w:val="single" w:sz="4" w:space="0" w:color="auto"/>
            </w:tcBorders>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Проверка репутации контрагентов – резидентов</w:t>
            </w:r>
            <w:r w:rsidRPr="00894A73">
              <w:rPr>
                <w:rFonts w:eastAsia="Calibri"/>
                <w:color w:val="000000"/>
                <w:sz w:val="16"/>
                <w:szCs w:val="16"/>
                <w:vertAlign w:val="superscript"/>
                <w:lang w:eastAsia="en-US"/>
              </w:rPr>
              <w:t>1</w:t>
            </w:r>
            <w:r w:rsidRPr="00894A73">
              <w:rPr>
                <w:rFonts w:eastAsia="Calibri"/>
                <w:color w:val="000000"/>
                <w:sz w:val="16"/>
                <w:szCs w:val="16"/>
                <w:lang w:eastAsia="en-US"/>
              </w:rPr>
              <w:t xml:space="preserve"> (автоматизированный отчет)</w:t>
            </w:r>
          </w:p>
        </w:tc>
        <w:tc>
          <w:tcPr>
            <w:tcW w:w="567" w:type="dxa"/>
            <w:tcBorders>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13"/>
        </w:trPr>
        <w:tc>
          <w:tcPr>
            <w:tcW w:w="1374" w:type="dxa"/>
            <w:vMerge/>
            <w:tcBorders>
              <w:left w:val="single" w:sz="12" w:space="0" w:color="auto"/>
              <w:bottom w:val="single" w:sz="12" w:space="0" w:color="auto"/>
            </w:tcBorders>
            <w:vAlign w:val="center"/>
          </w:tcPr>
          <w:p w:rsidR="00754275" w:rsidRPr="00894A73" w:rsidRDefault="00754275" w:rsidP="00FC64F0">
            <w:pPr>
              <w:rPr>
                <w:rFonts w:eastAsia="Calibri"/>
                <w:sz w:val="16"/>
                <w:szCs w:val="16"/>
                <w:lang w:eastAsia="en-US"/>
              </w:rPr>
            </w:pPr>
          </w:p>
        </w:tc>
        <w:tc>
          <w:tcPr>
            <w:tcW w:w="8681" w:type="dxa"/>
            <w:tcBorders>
              <w:bottom w:val="single" w:sz="12" w:space="0" w:color="auto"/>
            </w:tcBorders>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Мониторинг рисков и рекомендации по ведению деятельности клиентов в ПАО «Совкомбанк» (автоматизированный отчет)</w:t>
            </w:r>
          </w:p>
        </w:tc>
        <w:tc>
          <w:tcPr>
            <w:tcW w:w="567" w:type="dxa"/>
            <w:tcBorders>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50"/>
        </w:trPr>
        <w:tc>
          <w:tcPr>
            <w:tcW w:w="1374" w:type="dxa"/>
            <w:vMerge w:val="restart"/>
            <w:tcBorders>
              <w:top w:val="single" w:sz="12"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r w:rsidRPr="00894A73">
              <w:rPr>
                <w:rFonts w:eastAsia="Calibri"/>
                <w:sz w:val="16"/>
                <w:szCs w:val="16"/>
                <w:lang w:eastAsia="en-US"/>
              </w:rPr>
              <w:t xml:space="preserve">В рамках Пакета </w:t>
            </w:r>
            <w:r w:rsidRPr="00894A73">
              <w:rPr>
                <w:rFonts w:eastAsia="Calibri"/>
                <w:bCs/>
                <w:sz w:val="16"/>
                <w:szCs w:val="16"/>
                <w:lang w:eastAsia="en-US"/>
              </w:rPr>
              <w:t>РКО</w:t>
            </w:r>
            <w:r w:rsidRPr="00894A73">
              <w:rPr>
                <w:rFonts w:eastAsia="Calibri"/>
                <w:sz w:val="16"/>
                <w:szCs w:val="16"/>
                <w:lang w:eastAsia="en-US"/>
              </w:rPr>
              <w:t xml:space="preserve"> "Комплаенс Ассистент VIP"</w:t>
            </w:r>
          </w:p>
        </w:tc>
        <w:tc>
          <w:tcPr>
            <w:tcW w:w="8681" w:type="dxa"/>
            <w:tcBorders>
              <w:top w:val="single" w:sz="12" w:space="0" w:color="auto"/>
              <w:left w:val="single" w:sz="6" w:space="0" w:color="auto"/>
              <w:bottom w:val="single" w:sz="6" w:space="0" w:color="auto"/>
              <w:right w:val="single" w:sz="6" w:space="0" w:color="auto"/>
            </w:tcBorders>
          </w:tcPr>
          <w:p w:rsidR="00754275" w:rsidRDefault="00754275" w:rsidP="00FC64F0">
            <w:pPr>
              <w:rPr>
                <w:rFonts w:eastAsia="Calibri"/>
                <w:bCs/>
                <w:color w:val="000000"/>
                <w:sz w:val="16"/>
                <w:szCs w:val="16"/>
                <w:lang w:eastAsia="en-US"/>
              </w:rPr>
            </w:pPr>
            <w:r w:rsidRPr="00894A73">
              <w:rPr>
                <w:rFonts w:eastAsia="Calibri"/>
                <w:bCs/>
                <w:color w:val="000000"/>
                <w:sz w:val="16"/>
                <w:szCs w:val="16"/>
                <w:lang w:eastAsia="en-US"/>
              </w:rPr>
              <w:t xml:space="preserve">Персональное сопровождение внешнеэкономической деятельности клиента в Банке (с </w:t>
            </w:r>
            <w:r w:rsidRPr="00894A73">
              <w:rPr>
                <w:rFonts w:eastAsia="Calibri"/>
                <w:color w:val="000000"/>
                <w:sz w:val="16"/>
                <w:szCs w:val="16"/>
                <w:lang w:eastAsia="en-US"/>
              </w:rPr>
              <w:t>привлечением экспертов финансового мониторинга и валютного контроля)</w:t>
            </w:r>
            <w:r w:rsidRPr="00894A73">
              <w:rPr>
                <w:rFonts w:eastAsia="Calibri"/>
                <w:bCs/>
                <w:color w:val="000000"/>
                <w:sz w:val="16"/>
                <w:szCs w:val="16"/>
                <w:lang w:eastAsia="en-US"/>
              </w:rPr>
              <w:t xml:space="preserve">: </w:t>
            </w:r>
          </w:p>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 Структурирование сделок, помощь в реализации импортных контрактов, оценка рисков проведения валютной операции</w:t>
            </w:r>
          </w:p>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 Консультации по вопросам валютного законодательства и помощь в предотвращении его нарушения, выявление и идентификация санкционных рисков</w:t>
            </w:r>
          </w:p>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 xml:space="preserve">- Консультации по вопросам соблюдения контрсанкционных мер Российской Федерации </w:t>
            </w:r>
          </w:p>
          <w:p w:rsidR="00754275" w:rsidRPr="00894A73" w:rsidRDefault="00754275" w:rsidP="00FC64F0">
            <w:pPr>
              <w:rPr>
                <w:rFonts w:eastAsia="Calibri"/>
                <w:bCs/>
                <w:color w:val="000000"/>
                <w:sz w:val="16"/>
                <w:szCs w:val="16"/>
                <w:lang w:eastAsia="en-US"/>
              </w:rPr>
            </w:pPr>
            <w:r w:rsidRPr="00A048BD">
              <w:rPr>
                <w:rFonts w:eastAsia="Calibri"/>
                <w:bCs/>
                <w:color w:val="000000"/>
                <w:sz w:val="16"/>
                <w:szCs w:val="16"/>
                <w:lang w:eastAsia="en-US"/>
              </w:rPr>
              <w:t>- Консультации по вопросам на получение разрешения Правительственной комиссии (Минфин)</w:t>
            </w:r>
          </w:p>
        </w:tc>
        <w:tc>
          <w:tcPr>
            <w:tcW w:w="567" w:type="dxa"/>
            <w:tcBorders>
              <w:top w:val="single" w:sz="12"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7"/>
        </w:trPr>
        <w:tc>
          <w:tcPr>
            <w:tcW w:w="1374" w:type="dxa"/>
            <w:vMerge/>
            <w:tcBorders>
              <w:top w:val="single" w:sz="6"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6" w:space="0" w:color="auto"/>
              <w:right w:val="single" w:sz="6" w:space="0" w:color="auto"/>
            </w:tcBorders>
          </w:tcPr>
          <w:p w:rsidR="00754275" w:rsidRPr="00C8115B" w:rsidRDefault="00754275" w:rsidP="00FC64F0">
            <w:pPr>
              <w:rPr>
                <w:rFonts w:eastAsia="Calibri"/>
                <w:bCs/>
                <w:color w:val="000000"/>
                <w:sz w:val="16"/>
                <w:szCs w:val="16"/>
                <w:lang w:eastAsia="en-US"/>
              </w:rPr>
            </w:pPr>
            <w:r w:rsidRPr="00A048BD">
              <w:rPr>
                <w:rFonts w:eastAsia="Calibri"/>
                <w:bCs/>
                <w:color w:val="000000"/>
                <w:sz w:val="16"/>
                <w:szCs w:val="16"/>
                <w:lang w:eastAsia="en-US"/>
              </w:rPr>
              <w:t>Проверка репутации контрагентов – резидентов</w:t>
            </w:r>
            <w:r w:rsidRPr="00C8115B">
              <w:rPr>
                <w:rFonts w:eastAsia="Calibri"/>
                <w:bCs/>
                <w:color w:val="000000"/>
                <w:sz w:val="16"/>
                <w:szCs w:val="16"/>
                <w:vertAlign w:val="superscript"/>
                <w:lang w:eastAsia="en-US"/>
              </w:rPr>
              <w:fldChar w:fldCharType="begin"/>
            </w:r>
            <w:r w:rsidRPr="00C8115B">
              <w:rPr>
                <w:rFonts w:eastAsia="Calibri"/>
                <w:bCs/>
                <w:color w:val="000000"/>
                <w:sz w:val="16"/>
                <w:szCs w:val="16"/>
                <w:vertAlign w:val="superscript"/>
                <w:lang w:eastAsia="en-US"/>
              </w:rPr>
              <w:instrText xml:space="preserve"> NOTEREF _Ref64564521 </w:instrText>
            </w:r>
            <w:r>
              <w:rPr>
                <w:rFonts w:eastAsia="Calibri"/>
                <w:bCs/>
                <w:color w:val="000000"/>
                <w:sz w:val="16"/>
                <w:szCs w:val="16"/>
                <w:vertAlign w:val="superscript"/>
                <w:lang w:eastAsia="en-US"/>
              </w:rPr>
              <w:instrText xml:space="preserve"> \* MERGEFORMAT </w:instrText>
            </w:r>
            <w:r w:rsidRPr="00C8115B">
              <w:rPr>
                <w:rFonts w:eastAsia="Calibri"/>
                <w:bCs/>
                <w:color w:val="000000"/>
                <w:sz w:val="16"/>
                <w:szCs w:val="16"/>
                <w:vertAlign w:val="superscript"/>
                <w:lang w:eastAsia="en-US"/>
              </w:rPr>
              <w:fldChar w:fldCharType="separate"/>
            </w:r>
            <w:r>
              <w:rPr>
                <w:rFonts w:eastAsia="Calibri"/>
                <w:bCs/>
                <w:color w:val="000000"/>
                <w:sz w:val="16"/>
                <w:szCs w:val="16"/>
                <w:vertAlign w:val="superscript"/>
                <w:lang w:eastAsia="en-US"/>
              </w:rPr>
              <w:t>1</w:t>
            </w:r>
            <w:r w:rsidRPr="00C8115B">
              <w:rPr>
                <w:rFonts w:eastAsia="Calibri"/>
                <w:bCs/>
                <w:color w:val="000000"/>
                <w:sz w:val="16"/>
                <w:szCs w:val="16"/>
                <w:vertAlign w:val="superscript"/>
                <w:lang w:eastAsia="en-US"/>
              </w:rPr>
              <w:fldChar w:fldCharType="end"/>
            </w:r>
            <w:r w:rsidRPr="00A048BD">
              <w:rPr>
                <w:rFonts w:eastAsia="Calibri"/>
                <w:bCs/>
                <w:color w:val="000000"/>
                <w:sz w:val="16"/>
                <w:szCs w:val="16"/>
                <w:lang w:eastAsia="en-US"/>
              </w:rPr>
              <w:t xml:space="preserve"> </w:t>
            </w:r>
            <w:r w:rsidRPr="00894A73">
              <w:rPr>
                <w:rFonts w:eastAsia="Calibri"/>
                <w:color w:val="000000"/>
                <w:sz w:val="16"/>
                <w:szCs w:val="16"/>
                <w:lang w:eastAsia="en-US"/>
              </w:rPr>
              <w:t>(автоматизированный отчет)</w:t>
            </w:r>
          </w:p>
        </w:tc>
        <w:tc>
          <w:tcPr>
            <w:tcW w:w="567" w:type="dxa"/>
            <w:tcBorders>
              <w:top w:val="single" w:sz="6"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tcBorders>
              <w:top w:val="single" w:sz="6"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6" w:space="0" w:color="auto"/>
              <w:right w:val="single" w:sz="6" w:space="0" w:color="auto"/>
            </w:tcBorders>
          </w:tcPr>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Мониторинг рисков и рекомендации по ведению деятельности клиентов в ПАО «Совкомбанк»</w:t>
            </w:r>
            <w:r w:rsidRPr="00C8115B">
              <w:rPr>
                <w:rFonts w:eastAsia="Calibri"/>
                <w:bCs/>
                <w:color w:val="000000"/>
                <w:sz w:val="16"/>
                <w:szCs w:val="16"/>
                <w:lang w:eastAsia="en-US"/>
              </w:rPr>
              <w:t xml:space="preserve"> </w:t>
            </w:r>
            <w:r w:rsidRPr="00894A73">
              <w:rPr>
                <w:rFonts w:eastAsia="Calibri"/>
                <w:color w:val="000000"/>
                <w:sz w:val="16"/>
                <w:szCs w:val="16"/>
                <w:lang w:eastAsia="en-US"/>
              </w:rPr>
              <w:t>(автоматизированный отчет)</w:t>
            </w:r>
            <w:r w:rsidRPr="00A048BD">
              <w:rPr>
                <w:rFonts w:eastAsia="Calibri"/>
                <w:bCs/>
                <w:color w:val="000000"/>
                <w:sz w:val="16"/>
                <w:szCs w:val="16"/>
                <w:lang w:eastAsia="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tcBorders>
              <w:top w:val="single" w:sz="6" w:space="0" w:color="auto"/>
              <w:left w:val="single" w:sz="12" w:space="0" w:color="auto"/>
              <w:bottom w:val="single" w:sz="12"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12" w:space="0" w:color="auto"/>
              <w:right w:val="single" w:sz="6" w:space="0" w:color="auto"/>
            </w:tcBorders>
          </w:tcPr>
          <w:p w:rsidR="00754275" w:rsidRPr="00A048BD" w:rsidRDefault="00754275" w:rsidP="00FC64F0">
            <w:pPr>
              <w:rPr>
                <w:rFonts w:eastAsia="Calibri"/>
                <w:bCs/>
                <w:color w:val="000000"/>
                <w:sz w:val="16"/>
                <w:szCs w:val="16"/>
                <w:lang w:eastAsia="en-US"/>
              </w:rPr>
            </w:pPr>
            <w:r w:rsidRPr="00A048BD">
              <w:rPr>
                <w:rFonts w:eastAsia="Calibri"/>
                <w:bCs/>
                <w:color w:val="000000"/>
                <w:sz w:val="16"/>
                <w:szCs w:val="16"/>
                <w:lang w:eastAsia="en-US"/>
              </w:rPr>
              <w:t>Индивидуальные консультации и экспертиза сделок (оценка и выявление рисков с т</w:t>
            </w:r>
            <w:r>
              <w:rPr>
                <w:rFonts w:eastAsia="Calibri"/>
                <w:bCs/>
                <w:color w:val="000000"/>
                <w:sz w:val="16"/>
                <w:szCs w:val="16"/>
                <w:lang w:eastAsia="en-US"/>
              </w:rPr>
              <w:t>очки зрения</w:t>
            </w:r>
            <w:r w:rsidRPr="00A048BD">
              <w:rPr>
                <w:rFonts w:eastAsia="Calibri"/>
                <w:bCs/>
                <w:color w:val="000000"/>
                <w:sz w:val="16"/>
                <w:szCs w:val="16"/>
                <w:lang w:eastAsia="en-US"/>
              </w:rPr>
              <w:t xml:space="preserve"> ПОД</w:t>
            </w:r>
            <w:r>
              <w:rPr>
                <w:rFonts w:eastAsia="Calibri"/>
                <w:bCs/>
                <w:color w:val="000000"/>
                <w:sz w:val="16"/>
                <w:szCs w:val="16"/>
                <w:lang w:eastAsia="en-US"/>
              </w:rPr>
              <w:t>/</w:t>
            </w:r>
            <w:r w:rsidRPr="00A048BD">
              <w:rPr>
                <w:rFonts w:eastAsia="Calibri"/>
                <w:bCs/>
                <w:color w:val="000000"/>
                <w:sz w:val="16"/>
                <w:szCs w:val="16"/>
                <w:lang w:eastAsia="en-US"/>
              </w:rPr>
              <w:t>ФТ)</w:t>
            </w:r>
          </w:p>
        </w:tc>
        <w:tc>
          <w:tcPr>
            <w:tcW w:w="567" w:type="dxa"/>
            <w:tcBorders>
              <w:top w:val="single" w:sz="6" w:space="0" w:color="auto"/>
              <w:left w:val="single" w:sz="6" w:space="0" w:color="auto"/>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val="restart"/>
            <w:tcBorders>
              <w:top w:val="single" w:sz="12" w:space="0" w:color="auto"/>
              <w:left w:val="single" w:sz="12" w:space="0" w:color="auto"/>
              <w:bottom w:val="single" w:sz="6" w:space="0" w:color="auto"/>
              <w:right w:val="single" w:sz="6" w:space="0" w:color="auto"/>
            </w:tcBorders>
            <w:vAlign w:val="center"/>
          </w:tcPr>
          <w:p w:rsidR="00754275" w:rsidRPr="00972B33" w:rsidRDefault="00754275" w:rsidP="00FC64F0">
            <w:pPr>
              <w:rPr>
                <w:rFonts w:eastAsia="Calibri"/>
                <w:sz w:val="16"/>
                <w:szCs w:val="16"/>
                <w:lang w:eastAsia="en-US"/>
              </w:rPr>
            </w:pPr>
            <w:r w:rsidRPr="00E916B0">
              <w:rPr>
                <w:rFonts w:eastAsia="Calibri"/>
                <w:sz w:val="16"/>
                <w:szCs w:val="16"/>
                <w:lang w:eastAsia="en-US"/>
              </w:rPr>
              <w:t>Пакет РКО «</w:t>
            </w:r>
            <w:r w:rsidRPr="00E916B0">
              <w:rPr>
                <w:rFonts w:eastAsia="Calibri"/>
                <w:bCs/>
                <w:sz w:val="16"/>
                <w:szCs w:val="16"/>
                <w:lang w:eastAsia="en-US"/>
              </w:rPr>
              <w:t xml:space="preserve">Комплаенс Ассистент </w:t>
            </w:r>
            <w:r w:rsidRPr="00E916B0">
              <w:rPr>
                <w:rFonts w:eastAsia="Calibri"/>
                <w:bCs/>
                <w:sz w:val="16"/>
                <w:szCs w:val="16"/>
                <w:lang w:val="en-US" w:eastAsia="en-US"/>
              </w:rPr>
              <w:t>Optimal</w:t>
            </w:r>
            <w:r w:rsidRPr="00E916B0">
              <w:rPr>
                <w:rFonts w:eastAsia="Calibri"/>
                <w:sz w:val="16"/>
                <w:szCs w:val="16"/>
                <w:lang w:eastAsia="en-US"/>
              </w:rPr>
              <w:t>»</w:t>
            </w:r>
          </w:p>
        </w:tc>
        <w:tc>
          <w:tcPr>
            <w:tcW w:w="8681" w:type="dxa"/>
            <w:tcBorders>
              <w:top w:val="single" w:sz="12" w:space="0" w:color="auto"/>
              <w:left w:val="single" w:sz="6" w:space="0" w:color="auto"/>
              <w:bottom w:val="single" w:sz="6" w:space="0" w:color="auto"/>
              <w:right w:val="single" w:sz="6" w:space="0" w:color="auto"/>
            </w:tcBorders>
          </w:tcPr>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Персональное сопровождение внешнеэкономической деятельности Клиента в Банке (с привлечением экспертов финансового мониторинга и валютного контроля):</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структурирование сделок, помощь в реализации импортных контрактов, оценка рисков проведения валютной операции;</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консультации по вопросам валютного законодательства и помощь в предотвращении его нарушения, выявление и идентификация санкционных рисков; </w:t>
            </w:r>
          </w:p>
          <w:p w:rsidR="00754275" w:rsidRPr="00A048BD" w:rsidRDefault="00754275" w:rsidP="00FC64F0">
            <w:pPr>
              <w:rPr>
                <w:rFonts w:eastAsia="Calibri"/>
                <w:bCs/>
                <w:color w:val="000000"/>
                <w:sz w:val="16"/>
                <w:szCs w:val="16"/>
                <w:lang w:eastAsia="en-US"/>
              </w:rPr>
            </w:pPr>
            <w:r w:rsidRPr="001B0383">
              <w:rPr>
                <w:rFonts w:eastAsia="Calibri"/>
                <w:bCs/>
                <w:color w:val="000000"/>
                <w:sz w:val="16"/>
                <w:szCs w:val="16"/>
                <w:lang w:eastAsia="en-US"/>
              </w:rPr>
              <w:t>- консультации по вопросам соблюдения контрсанкционных мер Российской Федерации.</w:t>
            </w:r>
          </w:p>
        </w:tc>
        <w:tc>
          <w:tcPr>
            <w:tcW w:w="567" w:type="dxa"/>
            <w:tcBorders>
              <w:top w:val="single" w:sz="12"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tcBorders>
              <w:top w:val="single" w:sz="6"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6" w:space="0" w:color="auto"/>
              <w:right w:val="single" w:sz="6" w:space="0" w:color="auto"/>
            </w:tcBorders>
          </w:tcPr>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Сопровождение внешнеторговых сделок по импорту и экспорту: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документальное сопровождение сделки  </w:t>
            </w:r>
          </w:p>
          <w:p w:rsidR="00754275" w:rsidRPr="00A048BD"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юридическое сопровождение сделки (в т.ч. 52-й характер сделки)  </w:t>
            </w:r>
          </w:p>
        </w:tc>
        <w:tc>
          <w:tcPr>
            <w:tcW w:w="567" w:type="dxa"/>
            <w:tcBorders>
              <w:top w:val="single" w:sz="6"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tcBorders>
              <w:top w:val="single" w:sz="6"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6" w:space="0" w:color="auto"/>
              <w:right w:val="single" w:sz="6" w:space="0" w:color="auto"/>
            </w:tcBorders>
          </w:tcPr>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Международная логистика, в т.ч. сложные перевозки: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доставка товаров из стран, ограничивших экспорт в РФ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коммуникация с поставщиком (в т.ч. по вопросам возврата НДС при экспорте в РФ и третьи страны)</w:t>
            </w:r>
          </w:p>
          <w:p w:rsidR="00754275" w:rsidRPr="00A048BD"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закрытие экспортных деклараций  </w:t>
            </w:r>
          </w:p>
        </w:tc>
        <w:tc>
          <w:tcPr>
            <w:tcW w:w="567" w:type="dxa"/>
            <w:tcBorders>
              <w:top w:val="single" w:sz="6" w:space="0" w:color="auto"/>
              <w:left w:val="single" w:sz="6" w:space="0" w:color="auto"/>
              <w:bottom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104"/>
        </w:trPr>
        <w:tc>
          <w:tcPr>
            <w:tcW w:w="1374" w:type="dxa"/>
            <w:vMerge/>
            <w:tcBorders>
              <w:top w:val="single" w:sz="6" w:space="0" w:color="auto"/>
              <w:left w:val="single" w:sz="12" w:space="0" w:color="auto"/>
              <w:bottom w:val="single" w:sz="6"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right w:val="single" w:sz="6" w:space="0" w:color="auto"/>
            </w:tcBorders>
          </w:tcPr>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Таможенный представитель (таможенное сопровождение):</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подборка ТН ВЭД, подача деклараций, сертификация товаров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подбор кодов ТН ВЭД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подача деклараций</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таможенное сопровождение сделок  </w:t>
            </w:r>
          </w:p>
          <w:p w:rsidR="00754275" w:rsidRPr="00A048BD" w:rsidRDefault="00754275" w:rsidP="00FC64F0">
            <w:pPr>
              <w:rPr>
                <w:rFonts w:eastAsia="Calibri"/>
                <w:bCs/>
                <w:color w:val="000000"/>
                <w:sz w:val="16"/>
                <w:szCs w:val="16"/>
                <w:lang w:eastAsia="en-US"/>
              </w:rPr>
            </w:pPr>
            <w:r w:rsidRPr="001B0383">
              <w:rPr>
                <w:rFonts w:eastAsia="Calibri"/>
                <w:bCs/>
                <w:color w:val="000000"/>
                <w:sz w:val="16"/>
                <w:szCs w:val="16"/>
                <w:lang w:eastAsia="en-US"/>
              </w:rPr>
              <w:t>- сертификация товаров</w:t>
            </w:r>
          </w:p>
        </w:tc>
        <w:tc>
          <w:tcPr>
            <w:tcW w:w="567" w:type="dxa"/>
            <w:tcBorders>
              <w:top w:val="single" w:sz="6" w:space="0" w:color="auto"/>
              <w:left w:val="single" w:sz="6"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35"/>
        </w:trPr>
        <w:tc>
          <w:tcPr>
            <w:tcW w:w="1374" w:type="dxa"/>
            <w:vMerge/>
            <w:tcBorders>
              <w:top w:val="single" w:sz="6" w:space="0" w:color="auto"/>
              <w:left w:val="single" w:sz="12" w:space="0" w:color="auto"/>
              <w:bottom w:val="single" w:sz="12" w:space="0" w:color="auto"/>
              <w:right w:val="single" w:sz="6" w:space="0" w:color="auto"/>
            </w:tcBorders>
            <w:vAlign w:val="center"/>
          </w:tcPr>
          <w:p w:rsidR="00754275" w:rsidRPr="00894A73" w:rsidRDefault="00754275" w:rsidP="00FC64F0">
            <w:pPr>
              <w:rPr>
                <w:rFonts w:eastAsia="Calibri"/>
                <w:sz w:val="16"/>
                <w:szCs w:val="16"/>
                <w:lang w:eastAsia="en-US"/>
              </w:rPr>
            </w:pPr>
          </w:p>
        </w:tc>
        <w:tc>
          <w:tcPr>
            <w:tcW w:w="8681" w:type="dxa"/>
            <w:tcBorders>
              <w:top w:val="single" w:sz="6" w:space="0" w:color="auto"/>
              <w:left w:val="single" w:sz="6" w:space="0" w:color="auto"/>
              <w:bottom w:val="single" w:sz="12" w:space="0" w:color="auto"/>
              <w:right w:val="single" w:sz="6" w:space="0" w:color="auto"/>
            </w:tcBorders>
          </w:tcPr>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Российско-Китайский юридический центр: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комплексные юридические услуги для бизнеса, работающего на российском и китайском рынке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помощь при слиянии и поглощении  </w:t>
            </w:r>
          </w:p>
          <w:p w:rsidR="00754275" w:rsidRPr="001B0383" w:rsidRDefault="00754275" w:rsidP="00FC64F0">
            <w:pPr>
              <w:rPr>
                <w:rFonts w:eastAsia="Calibri"/>
                <w:bCs/>
                <w:color w:val="000000"/>
                <w:sz w:val="16"/>
                <w:szCs w:val="16"/>
                <w:lang w:eastAsia="en-US"/>
              </w:rPr>
            </w:pPr>
            <w:r w:rsidRPr="001B0383">
              <w:rPr>
                <w:rFonts w:eastAsia="Calibri"/>
                <w:bCs/>
                <w:color w:val="000000"/>
                <w:sz w:val="16"/>
                <w:szCs w:val="16"/>
                <w:lang w:eastAsia="en-US"/>
              </w:rPr>
              <w:t xml:space="preserve">- юридическое сопровождение инвестиционных проектов  </w:t>
            </w:r>
          </w:p>
          <w:p w:rsidR="00754275" w:rsidRPr="00A048BD" w:rsidRDefault="00754275" w:rsidP="00FC64F0">
            <w:pPr>
              <w:rPr>
                <w:rFonts w:eastAsia="Calibri"/>
                <w:bCs/>
                <w:color w:val="000000"/>
                <w:sz w:val="16"/>
                <w:szCs w:val="16"/>
                <w:lang w:eastAsia="en-US"/>
              </w:rPr>
            </w:pPr>
            <w:r w:rsidRPr="001B0383">
              <w:rPr>
                <w:rFonts w:eastAsia="Calibri"/>
                <w:bCs/>
                <w:color w:val="000000"/>
                <w:sz w:val="16"/>
                <w:szCs w:val="16"/>
                <w:lang w:eastAsia="en-US"/>
              </w:rPr>
              <w:t>- услуги по регистрации/приобретению готовой компании в Китае</w:t>
            </w:r>
          </w:p>
        </w:tc>
        <w:tc>
          <w:tcPr>
            <w:tcW w:w="567" w:type="dxa"/>
            <w:tcBorders>
              <w:top w:val="single" w:sz="6" w:space="0" w:color="auto"/>
              <w:left w:val="single" w:sz="6" w:space="0" w:color="auto"/>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299"/>
        </w:trPr>
        <w:tc>
          <w:tcPr>
            <w:tcW w:w="1374" w:type="dxa"/>
            <w:tcBorders>
              <w:top w:val="single" w:sz="12" w:space="0" w:color="auto"/>
              <w:left w:val="single" w:sz="12" w:space="0" w:color="auto"/>
              <w:bottom w:val="single" w:sz="12" w:space="0" w:color="auto"/>
            </w:tcBorders>
            <w:vAlign w:val="center"/>
          </w:tcPr>
          <w:p w:rsidR="00754275" w:rsidRPr="00894A73" w:rsidRDefault="00754275" w:rsidP="00FC64F0">
            <w:pPr>
              <w:rPr>
                <w:rFonts w:eastAsia="Calibri"/>
                <w:bCs/>
                <w:sz w:val="16"/>
                <w:szCs w:val="16"/>
                <w:lang w:eastAsia="en-US"/>
              </w:rPr>
            </w:pPr>
            <w:r w:rsidRPr="00894A73">
              <w:rPr>
                <w:rFonts w:eastAsia="Calibri"/>
                <w:bCs/>
                <w:sz w:val="16"/>
                <w:szCs w:val="16"/>
                <w:lang w:eastAsia="en-US"/>
              </w:rPr>
              <w:t>Комплаенс -оценка бизнеса</w:t>
            </w:r>
          </w:p>
        </w:tc>
        <w:tc>
          <w:tcPr>
            <w:tcW w:w="8681" w:type="dxa"/>
            <w:tcBorders>
              <w:top w:val="single" w:sz="12" w:space="0" w:color="auto"/>
              <w:bottom w:val="single" w:sz="12" w:space="0" w:color="auto"/>
            </w:tcBorders>
            <w:vAlign w:val="center"/>
          </w:tcPr>
          <w:p w:rsidR="00754275" w:rsidRDefault="00754275" w:rsidP="00FC64F0">
            <w:pPr>
              <w:rPr>
                <w:rFonts w:eastAsia="Calibri"/>
                <w:sz w:val="16"/>
                <w:szCs w:val="16"/>
                <w:lang w:eastAsia="en-US"/>
              </w:rPr>
            </w:pPr>
            <w:r>
              <w:rPr>
                <w:rFonts w:eastAsia="Calibri"/>
                <w:sz w:val="16"/>
                <w:szCs w:val="16"/>
                <w:lang w:eastAsia="en-US"/>
              </w:rPr>
              <w:t xml:space="preserve">- </w:t>
            </w:r>
            <w:r w:rsidRPr="00894A73">
              <w:rPr>
                <w:rFonts w:eastAsia="Calibri"/>
                <w:sz w:val="16"/>
                <w:szCs w:val="16"/>
                <w:lang w:eastAsia="en-US"/>
              </w:rPr>
              <w:t>Мониторинг рисков и рекомендации по ведению деятельности клиентов в ПАО «Совкомбанк»</w:t>
            </w:r>
            <w:r w:rsidRPr="00894A73">
              <w:rPr>
                <w:rFonts w:eastAsia="Calibri"/>
                <w:color w:val="000000"/>
                <w:sz w:val="16"/>
                <w:szCs w:val="16"/>
                <w:lang w:eastAsia="en-US"/>
              </w:rPr>
              <w:t xml:space="preserve"> (автоматизированный отчет)</w:t>
            </w:r>
            <w:r>
              <w:rPr>
                <w:rFonts w:eastAsia="Calibri"/>
                <w:sz w:val="16"/>
                <w:szCs w:val="16"/>
                <w:lang w:eastAsia="en-US"/>
              </w:rPr>
              <w:t>.</w:t>
            </w:r>
          </w:p>
          <w:p w:rsidR="00754275" w:rsidRDefault="00754275" w:rsidP="00FC64F0">
            <w:pPr>
              <w:rPr>
                <w:rFonts w:eastAsia="Calibri"/>
                <w:sz w:val="16"/>
                <w:szCs w:val="16"/>
                <w:lang w:eastAsia="en-US"/>
              </w:rPr>
            </w:pPr>
            <w:r>
              <w:rPr>
                <w:rFonts w:eastAsia="Calibri"/>
                <w:sz w:val="16"/>
                <w:szCs w:val="16"/>
                <w:lang w:eastAsia="en-US"/>
              </w:rPr>
              <w:t>- А</w:t>
            </w:r>
            <w:r w:rsidRPr="00894A73">
              <w:rPr>
                <w:rFonts w:eastAsia="Calibri"/>
                <w:sz w:val="16"/>
                <w:szCs w:val="16"/>
                <w:lang w:eastAsia="en-US"/>
              </w:rPr>
              <w:t>нализ операций по счету в ПАО «Совкомбанк»</w:t>
            </w:r>
            <w:r>
              <w:rPr>
                <w:rFonts w:eastAsia="Calibri"/>
                <w:sz w:val="16"/>
                <w:szCs w:val="16"/>
                <w:lang w:eastAsia="en-US"/>
              </w:rPr>
              <w:t>.</w:t>
            </w:r>
          </w:p>
          <w:p w:rsidR="00754275" w:rsidRPr="00894A73" w:rsidRDefault="00754275" w:rsidP="00FC64F0">
            <w:pPr>
              <w:rPr>
                <w:rFonts w:eastAsia="Calibri"/>
                <w:sz w:val="16"/>
                <w:szCs w:val="16"/>
                <w:lang w:eastAsia="en-US"/>
              </w:rPr>
            </w:pPr>
            <w:r>
              <w:rPr>
                <w:rFonts w:eastAsia="Calibri"/>
                <w:sz w:val="16"/>
                <w:szCs w:val="16"/>
                <w:lang w:eastAsia="en-US"/>
              </w:rPr>
              <w:t xml:space="preserve">- </w:t>
            </w:r>
            <w:r w:rsidRPr="00C8115B">
              <w:rPr>
                <w:rFonts w:eastAsia="Calibri"/>
                <w:sz w:val="16"/>
                <w:szCs w:val="16"/>
                <w:lang w:eastAsia="en-US"/>
              </w:rPr>
              <w:t>П</w:t>
            </w:r>
            <w:r w:rsidRPr="007B4F35">
              <w:rPr>
                <w:rFonts w:eastAsia="Calibri"/>
                <w:sz w:val="16"/>
                <w:szCs w:val="16"/>
                <w:lang w:eastAsia="en-US"/>
              </w:rPr>
              <w:t>ерсональные рекомендации</w:t>
            </w:r>
            <w:r>
              <w:rPr>
                <w:rFonts w:eastAsia="Calibri"/>
                <w:sz w:val="16"/>
                <w:szCs w:val="16"/>
                <w:lang w:eastAsia="en-US"/>
              </w:rPr>
              <w:t>.</w:t>
            </w:r>
          </w:p>
        </w:tc>
        <w:tc>
          <w:tcPr>
            <w:tcW w:w="567" w:type="dxa"/>
            <w:tcBorders>
              <w:top w:val="single" w:sz="12" w:space="0" w:color="auto"/>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185"/>
        </w:trPr>
        <w:tc>
          <w:tcPr>
            <w:tcW w:w="1374" w:type="dxa"/>
            <w:vMerge w:val="restart"/>
            <w:tcBorders>
              <w:top w:val="single" w:sz="12" w:space="0" w:color="auto"/>
              <w:left w:val="single" w:sz="12" w:space="0" w:color="auto"/>
            </w:tcBorders>
            <w:vAlign w:val="center"/>
          </w:tcPr>
          <w:p w:rsidR="00754275" w:rsidRPr="00894A73" w:rsidRDefault="00754275" w:rsidP="00FC64F0">
            <w:pPr>
              <w:rPr>
                <w:rFonts w:eastAsia="Calibri"/>
                <w:sz w:val="16"/>
                <w:szCs w:val="16"/>
                <w:lang w:eastAsia="en-US"/>
              </w:rPr>
            </w:pPr>
            <w:r w:rsidRPr="00894A73">
              <w:rPr>
                <w:rFonts w:eastAsia="Calibri"/>
                <w:sz w:val="16"/>
                <w:szCs w:val="16"/>
                <w:lang w:eastAsia="en-US"/>
              </w:rPr>
              <w:lastRenderedPageBreak/>
              <w:t>Консультации по реабилитации</w:t>
            </w:r>
            <w:r w:rsidRPr="00894A73">
              <w:rPr>
                <w:rFonts w:eastAsia="Calibri"/>
                <w:sz w:val="16"/>
                <w:szCs w:val="16"/>
                <w:vertAlign w:val="superscript"/>
                <w:lang w:eastAsia="en-US"/>
              </w:rPr>
              <w:footnoteReference w:id="4"/>
            </w:r>
          </w:p>
        </w:tc>
        <w:tc>
          <w:tcPr>
            <w:tcW w:w="8681" w:type="dxa"/>
            <w:tcBorders>
              <w:top w:val="single" w:sz="12" w:space="0" w:color="auto"/>
            </w:tcBorders>
          </w:tcPr>
          <w:p w:rsidR="00754275" w:rsidRPr="00894A73" w:rsidRDefault="00754275" w:rsidP="00FC64F0">
            <w:pPr>
              <w:rPr>
                <w:rFonts w:eastAsia="Calibri"/>
                <w:color w:val="000000"/>
                <w:sz w:val="16"/>
                <w:szCs w:val="16"/>
                <w:lang w:eastAsia="en-US"/>
              </w:rPr>
            </w:pPr>
            <w:r w:rsidRPr="00894A73">
              <w:rPr>
                <w:rFonts w:eastAsia="Calibri"/>
                <w:color w:val="000000"/>
                <w:sz w:val="16"/>
                <w:szCs w:val="16"/>
                <w:lang w:eastAsia="en-US"/>
              </w:rPr>
              <w:t>Первичная консультация: предварительный экспресс-анализ деятельности</w:t>
            </w:r>
          </w:p>
        </w:tc>
        <w:tc>
          <w:tcPr>
            <w:tcW w:w="567" w:type="dxa"/>
            <w:tcBorders>
              <w:top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251"/>
        </w:trPr>
        <w:tc>
          <w:tcPr>
            <w:tcW w:w="1374" w:type="dxa"/>
            <w:vMerge/>
            <w:tcBorders>
              <w:left w:val="single" w:sz="12" w:space="0" w:color="auto"/>
              <w:bottom w:val="single" w:sz="12" w:space="0" w:color="auto"/>
            </w:tcBorders>
            <w:vAlign w:val="center"/>
          </w:tcPr>
          <w:p w:rsidR="00754275" w:rsidRPr="00894A73" w:rsidRDefault="00754275" w:rsidP="00FC64F0">
            <w:pPr>
              <w:rPr>
                <w:rFonts w:eastAsia="Calibri"/>
                <w:sz w:val="16"/>
                <w:szCs w:val="16"/>
                <w:lang w:eastAsia="en-US"/>
              </w:rPr>
            </w:pPr>
          </w:p>
        </w:tc>
        <w:tc>
          <w:tcPr>
            <w:tcW w:w="8681" w:type="dxa"/>
            <w:tcBorders>
              <w:bottom w:val="single" w:sz="12" w:space="0" w:color="auto"/>
            </w:tcBorders>
          </w:tcPr>
          <w:p w:rsidR="00754275" w:rsidRDefault="00754275" w:rsidP="00FC64F0">
            <w:pPr>
              <w:rPr>
                <w:rFonts w:eastAsia="Calibri"/>
                <w:color w:val="000000"/>
                <w:sz w:val="16"/>
                <w:szCs w:val="16"/>
                <w:lang w:eastAsia="en-US"/>
              </w:rPr>
            </w:pPr>
            <w:r w:rsidRPr="00894A73">
              <w:rPr>
                <w:rFonts w:eastAsia="Calibri"/>
                <w:color w:val="000000"/>
                <w:sz w:val="16"/>
                <w:szCs w:val="16"/>
                <w:lang w:eastAsia="en-US"/>
              </w:rPr>
              <w:t xml:space="preserve">Помощь в процедуре реабилитации в других кредитных организациях: </w:t>
            </w:r>
          </w:p>
          <w:p w:rsidR="00754275" w:rsidRDefault="00754275" w:rsidP="00FC64F0">
            <w:pPr>
              <w:rPr>
                <w:rFonts w:eastAsia="Calibri"/>
                <w:color w:val="000000"/>
                <w:sz w:val="16"/>
                <w:szCs w:val="16"/>
                <w:lang w:eastAsia="en-US"/>
              </w:rPr>
            </w:pPr>
            <w:r>
              <w:rPr>
                <w:rFonts w:eastAsia="Calibri"/>
                <w:color w:val="000000"/>
                <w:sz w:val="16"/>
                <w:szCs w:val="16"/>
                <w:lang w:eastAsia="en-US"/>
              </w:rPr>
              <w:t xml:space="preserve">- </w:t>
            </w:r>
            <w:r w:rsidRPr="00894A73">
              <w:rPr>
                <w:rFonts w:eastAsia="Calibri"/>
                <w:color w:val="000000"/>
                <w:sz w:val="16"/>
                <w:szCs w:val="16"/>
                <w:lang w:eastAsia="en-US"/>
              </w:rPr>
              <w:t xml:space="preserve">анализ отказанной операции (документов, ее обосновывающих); </w:t>
            </w:r>
          </w:p>
          <w:p w:rsidR="00754275" w:rsidRDefault="00754275" w:rsidP="00FC64F0">
            <w:pPr>
              <w:rPr>
                <w:rFonts w:eastAsia="Calibri"/>
                <w:color w:val="000000"/>
                <w:sz w:val="16"/>
                <w:szCs w:val="16"/>
                <w:lang w:eastAsia="en-US"/>
              </w:rPr>
            </w:pPr>
            <w:r>
              <w:rPr>
                <w:rFonts w:eastAsia="Calibri"/>
                <w:color w:val="000000"/>
                <w:sz w:val="16"/>
                <w:szCs w:val="16"/>
                <w:lang w:eastAsia="en-US"/>
              </w:rPr>
              <w:t xml:space="preserve">- </w:t>
            </w:r>
            <w:r w:rsidRPr="00894A73">
              <w:rPr>
                <w:rFonts w:eastAsia="Calibri"/>
                <w:color w:val="000000"/>
                <w:sz w:val="16"/>
                <w:szCs w:val="16"/>
                <w:lang w:eastAsia="en-US"/>
              </w:rPr>
              <w:t xml:space="preserve">подготовка рекомендаций о возможности реабилитации; </w:t>
            </w:r>
          </w:p>
          <w:p w:rsidR="00754275" w:rsidRPr="00894A73" w:rsidRDefault="00754275" w:rsidP="00FC64F0">
            <w:pPr>
              <w:rPr>
                <w:rFonts w:eastAsia="Calibri"/>
                <w:color w:val="000000"/>
                <w:sz w:val="16"/>
                <w:szCs w:val="16"/>
                <w:lang w:eastAsia="en-US"/>
              </w:rPr>
            </w:pPr>
            <w:r>
              <w:rPr>
                <w:rFonts w:eastAsia="Calibri"/>
                <w:color w:val="000000"/>
                <w:sz w:val="16"/>
                <w:szCs w:val="16"/>
                <w:lang w:eastAsia="en-US"/>
              </w:rPr>
              <w:t xml:space="preserve">- </w:t>
            </w:r>
            <w:r w:rsidRPr="00894A73">
              <w:rPr>
                <w:rFonts w:eastAsia="Calibri"/>
                <w:color w:val="000000"/>
                <w:sz w:val="16"/>
                <w:szCs w:val="16"/>
                <w:lang w:eastAsia="en-US"/>
              </w:rPr>
              <w:t>помощь в подготовке документов/сопроводительного письма</w:t>
            </w:r>
            <w:r>
              <w:rPr>
                <w:rFonts w:eastAsia="Calibri"/>
                <w:color w:val="000000"/>
                <w:sz w:val="16"/>
                <w:szCs w:val="16"/>
                <w:lang w:eastAsia="en-US"/>
              </w:rPr>
              <w:t>.</w:t>
            </w:r>
          </w:p>
        </w:tc>
        <w:tc>
          <w:tcPr>
            <w:tcW w:w="567" w:type="dxa"/>
            <w:tcBorders>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01"/>
        </w:trPr>
        <w:tc>
          <w:tcPr>
            <w:tcW w:w="1374" w:type="dxa"/>
            <w:tcBorders>
              <w:top w:val="single" w:sz="12" w:space="0" w:color="auto"/>
              <w:left w:val="single" w:sz="12" w:space="0" w:color="auto"/>
              <w:bottom w:val="single" w:sz="12" w:space="0" w:color="auto"/>
            </w:tcBorders>
          </w:tcPr>
          <w:p w:rsidR="00754275" w:rsidRPr="00894A73" w:rsidRDefault="00754275" w:rsidP="00FC64F0">
            <w:pPr>
              <w:rPr>
                <w:rFonts w:eastAsia="Calibri"/>
                <w:sz w:val="16"/>
                <w:szCs w:val="16"/>
                <w:lang w:eastAsia="en-US"/>
              </w:rPr>
            </w:pPr>
            <w:r w:rsidRPr="00894A73">
              <w:rPr>
                <w:rFonts w:eastAsia="Calibri"/>
                <w:bCs/>
                <w:sz w:val="16"/>
                <w:szCs w:val="16"/>
                <w:lang w:eastAsia="en-US"/>
              </w:rPr>
              <w:t>Экспертиза сделки</w:t>
            </w:r>
          </w:p>
        </w:tc>
        <w:tc>
          <w:tcPr>
            <w:tcW w:w="8681" w:type="dxa"/>
            <w:tcBorders>
              <w:top w:val="single" w:sz="12" w:space="0" w:color="auto"/>
              <w:bottom w:val="single" w:sz="12" w:space="0" w:color="auto"/>
            </w:tcBorders>
          </w:tcPr>
          <w:p w:rsidR="00754275" w:rsidRPr="00894A73" w:rsidRDefault="00754275" w:rsidP="00FC64F0">
            <w:pPr>
              <w:rPr>
                <w:rFonts w:eastAsia="Calibri"/>
                <w:color w:val="000000"/>
                <w:sz w:val="16"/>
                <w:szCs w:val="16"/>
                <w:lang w:eastAsia="en-US"/>
              </w:rPr>
            </w:pPr>
            <w:r w:rsidRPr="00894A73">
              <w:rPr>
                <w:rFonts w:eastAsia="Calibri"/>
                <w:sz w:val="16"/>
                <w:szCs w:val="16"/>
                <w:lang w:eastAsia="en-US"/>
              </w:rPr>
              <w:t>Предварительная экспертиза сотрудниками финансового мониторинга документов/сделки для оценки рисков проведения операции по счету</w:t>
            </w:r>
          </w:p>
        </w:tc>
        <w:tc>
          <w:tcPr>
            <w:tcW w:w="567" w:type="dxa"/>
            <w:tcBorders>
              <w:top w:val="single" w:sz="12" w:space="0" w:color="auto"/>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r w:rsidR="00754275" w:rsidRPr="00894A73" w:rsidTr="00754275">
        <w:trPr>
          <w:trHeight w:val="301"/>
        </w:trPr>
        <w:tc>
          <w:tcPr>
            <w:tcW w:w="1374" w:type="dxa"/>
            <w:tcBorders>
              <w:left w:val="single" w:sz="12" w:space="0" w:color="auto"/>
              <w:bottom w:val="single" w:sz="12" w:space="0" w:color="auto"/>
            </w:tcBorders>
          </w:tcPr>
          <w:p w:rsidR="00754275" w:rsidRPr="00894A73" w:rsidRDefault="00754275" w:rsidP="00FC64F0">
            <w:pPr>
              <w:rPr>
                <w:rFonts w:eastAsia="Calibri"/>
                <w:bCs/>
                <w:sz w:val="16"/>
                <w:szCs w:val="16"/>
                <w:lang w:eastAsia="en-US"/>
              </w:rPr>
            </w:pPr>
            <w:r w:rsidRPr="00222106">
              <w:rPr>
                <w:rFonts w:eastAsia="Calibri"/>
                <w:sz w:val="16"/>
                <w:szCs w:val="16"/>
                <w:lang w:val="x-none"/>
              </w:rPr>
              <w:t>Экспертиза внешнеторговой сделки</w:t>
            </w:r>
          </w:p>
        </w:tc>
        <w:tc>
          <w:tcPr>
            <w:tcW w:w="8681" w:type="dxa"/>
            <w:tcBorders>
              <w:bottom w:val="single" w:sz="12" w:space="0" w:color="auto"/>
            </w:tcBorders>
          </w:tcPr>
          <w:p w:rsidR="00754275" w:rsidRPr="00C8115B" w:rsidRDefault="00754275" w:rsidP="00FC64F0">
            <w:pPr>
              <w:rPr>
                <w:rFonts w:eastAsia="Calibri"/>
                <w:sz w:val="16"/>
                <w:szCs w:val="16"/>
                <w:lang w:eastAsia="en-US"/>
              </w:rPr>
            </w:pPr>
            <w:r w:rsidRPr="00C8115B">
              <w:rPr>
                <w:rFonts w:eastAsia="Calibri"/>
                <w:sz w:val="16"/>
                <w:szCs w:val="16"/>
                <w:lang w:eastAsia="en-US"/>
              </w:rPr>
              <w:t xml:space="preserve">- Оценка рисков проведения валютной операции; </w:t>
            </w:r>
          </w:p>
          <w:p w:rsidR="00754275" w:rsidRPr="00C8115B" w:rsidRDefault="00754275" w:rsidP="00FC64F0">
            <w:pPr>
              <w:rPr>
                <w:rFonts w:eastAsia="Calibri"/>
                <w:sz w:val="16"/>
                <w:szCs w:val="16"/>
                <w:lang w:eastAsia="en-US"/>
              </w:rPr>
            </w:pPr>
            <w:r w:rsidRPr="00C8115B">
              <w:rPr>
                <w:rFonts w:eastAsia="Calibri"/>
                <w:sz w:val="16"/>
                <w:szCs w:val="16"/>
                <w:lang w:eastAsia="en-US"/>
              </w:rPr>
              <w:t>- Структурирование сделки;</w:t>
            </w:r>
          </w:p>
          <w:p w:rsidR="00754275" w:rsidRPr="00C8115B" w:rsidRDefault="00754275" w:rsidP="00FC64F0">
            <w:pPr>
              <w:rPr>
                <w:rFonts w:eastAsia="Calibri"/>
                <w:sz w:val="16"/>
                <w:szCs w:val="16"/>
                <w:lang w:eastAsia="en-US"/>
              </w:rPr>
            </w:pPr>
            <w:r w:rsidRPr="00C8115B">
              <w:rPr>
                <w:rFonts w:eastAsia="Calibri"/>
                <w:sz w:val="16"/>
                <w:szCs w:val="16"/>
                <w:lang w:eastAsia="en-US"/>
              </w:rPr>
              <w:t>- Консультации по вопросам валютного законодательства и помощь в предотвращении его нарушения;</w:t>
            </w:r>
          </w:p>
          <w:p w:rsidR="00754275" w:rsidRPr="00C8115B" w:rsidRDefault="00754275" w:rsidP="00FC64F0">
            <w:pPr>
              <w:rPr>
                <w:rFonts w:eastAsia="Calibri"/>
                <w:sz w:val="16"/>
                <w:szCs w:val="16"/>
                <w:lang w:eastAsia="en-US"/>
              </w:rPr>
            </w:pPr>
            <w:r w:rsidRPr="00C8115B">
              <w:rPr>
                <w:rFonts w:eastAsia="Calibri"/>
                <w:sz w:val="16"/>
                <w:szCs w:val="16"/>
                <w:lang w:eastAsia="en-US"/>
              </w:rPr>
              <w:t>- Выявление и идентификация санкционных рисков;</w:t>
            </w:r>
          </w:p>
          <w:p w:rsidR="00754275" w:rsidRPr="00C8115B" w:rsidRDefault="00754275" w:rsidP="00FC64F0">
            <w:pPr>
              <w:rPr>
                <w:rFonts w:eastAsia="Calibri"/>
                <w:sz w:val="16"/>
                <w:szCs w:val="16"/>
                <w:lang w:eastAsia="en-US"/>
              </w:rPr>
            </w:pPr>
            <w:r w:rsidRPr="00C8115B">
              <w:rPr>
                <w:rFonts w:eastAsia="Calibri"/>
                <w:sz w:val="16"/>
                <w:szCs w:val="16"/>
                <w:lang w:eastAsia="en-US"/>
              </w:rPr>
              <w:t>- Консультации по вопросам соблюдения контрсанкционных мер РФ;</w:t>
            </w:r>
          </w:p>
          <w:p w:rsidR="00754275" w:rsidRPr="00894A73" w:rsidRDefault="00754275" w:rsidP="00FC64F0">
            <w:pPr>
              <w:rPr>
                <w:rFonts w:eastAsia="Calibri"/>
                <w:sz w:val="16"/>
                <w:szCs w:val="16"/>
                <w:lang w:eastAsia="en-US"/>
              </w:rPr>
            </w:pPr>
            <w:r w:rsidRPr="00C8115B">
              <w:rPr>
                <w:rFonts w:eastAsia="Calibri"/>
                <w:sz w:val="16"/>
                <w:szCs w:val="16"/>
                <w:lang w:eastAsia="en-US"/>
              </w:rPr>
              <w:t>- Консультации по вопросам на получение разрешения Правительственной комиссии (Минфин).</w:t>
            </w:r>
          </w:p>
        </w:tc>
        <w:tc>
          <w:tcPr>
            <w:tcW w:w="567" w:type="dxa"/>
            <w:tcBorders>
              <w:bottom w:val="single" w:sz="12" w:space="0" w:color="auto"/>
              <w:right w:val="single" w:sz="12" w:space="0" w:color="auto"/>
            </w:tcBorders>
            <w:vAlign w:val="center"/>
          </w:tcPr>
          <w:p w:rsidR="00754275" w:rsidRPr="00894A73" w:rsidRDefault="00754275" w:rsidP="00754275">
            <w:pPr>
              <w:numPr>
                <w:ilvl w:val="0"/>
                <w:numId w:val="5"/>
              </w:numPr>
              <w:tabs>
                <w:tab w:val="num" w:pos="786"/>
              </w:tabs>
              <w:ind w:left="720" w:hanging="544"/>
              <w:contextualSpacing/>
              <w:jc w:val="center"/>
              <w:rPr>
                <w:rFonts w:ascii="Calibri" w:eastAsia="Calibri" w:hAnsi="Calibri"/>
                <w:sz w:val="16"/>
                <w:szCs w:val="22"/>
                <w:lang w:eastAsia="en-US"/>
              </w:rPr>
            </w:pPr>
          </w:p>
        </w:tc>
      </w:tr>
    </w:tbl>
    <w:p w:rsidR="00232008" w:rsidRPr="00894A73" w:rsidRDefault="00232008" w:rsidP="00232008">
      <w:pPr>
        <w:ind w:left="142" w:hanging="142"/>
        <w:jc w:val="both"/>
        <w:rPr>
          <w:rFonts w:ascii="Century Schoolbook" w:hAnsi="Century Schoolbook"/>
          <w:sz w:val="16"/>
          <w:szCs w:val="16"/>
        </w:rPr>
      </w:pPr>
      <w:bookmarkStart w:id="3" w:name="_GoBack"/>
      <w:bookmarkEnd w:id="3"/>
    </w:p>
    <w:p w:rsidR="00232008" w:rsidRDefault="00232008" w:rsidP="00232008">
      <w:pPr>
        <w:spacing w:after="200" w:line="276" w:lineRule="auto"/>
        <w:ind w:left="-567"/>
        <w:jc w:val="both"/>
        <w:rPr>
          <w:sz w:val="16"/>
          <w:szCs w:val="16"/>
        </w:rPr>
      </w:pPr>
      <w:r w:rsidRPr="00894A73">
        <w:rPr>
          <w:sz w:val="16"/>
          <w:szCs w:val="16"/>
        </w:rPr>
        <w:t>Подтверждаем свое согласие с Условиями оказания услуги «Персональный Комплаенс – консультант в рамках РКО Клиента» и обязуемся их выполнять.</w:t>
      </w:r>
      <w:r w:rsidRPr="005E7690">
        <w:rPr>
          <w:sz w:val="16"/>
          <w:szCs w:val="16"/>
        </w:rPr>
        <w:t>С Тарифами ознакомлены и согласны.</w:t>
      </w:r>
    </w:p>
    <w:p w:rsidR="00232008" w:rsidRPr="005E7690" w:rsidRDefault="00232008" w:rsidP="00232008">
      <w:pPr>
        <w:spacing w:after="200" w:line="276" w:lineRule="auto"/>
        <w:ind w:left="-567"/>
        <w:jc w:val="both"/>
        <w:rPr>
          <w:sz w:val="16"/>
          <w:szCs w:val="16"/>
        </w:rPr>
      </w:pPr>
      <w:r w:rsidRPr="005E7690">
        <w:rPr>
          <w:sz w:val="16"/>
          <w:szCs w:val="16"/>
        </w:rPr>
        <w:t xml:space="preserve">Дата: «____»_______________  20____г. </w:t>
      </w:r>
    </w:p>
    <w:tbl>
      <w:tblPr>
        <w:tblW w:w="9279" w:type="dxa"/>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3314"/>
        <w:gridCol w:w="2541"/>
        <w:gridCol w:w="3424"/>
      </w:tblGrid>
      <w:tr w:rsidR="00232008" w:rsidRPr="00894A73" w:rsidTr="00D62C55">
        <w:trPr>
          <w:trHeight w:val="62"/>
          <w:tblCellSpacing w:w="20" w:type="dxa"/>
        </w:trPr>
        <w:tc>
          <w:tcPr>
            <w:tcW w:w="3254"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rPr>
                <w:rFonts w:ascii="Century Schoolbook" w:hAnsi="Century Schoolbook"/>
                <w:sz w:val="16"/>
                <w:szCs w:val="16"/>
              </w:rPr>
            </w:pPr>
            <w:r w:rsidRPr="00894A73">
              <w:rPr>
                <w:rFonts w:ascii="Century Schoolbook" w:hAnsi="Century Schoolbook"/>
                <w:sz w:val="16"/>
                <w:szCs w:val="16"/>
              </w:rPr>
              <w:t>Руководитель</w:t>
            </w:r>
          </w:p>
        </w:tc>
        <w:tc>
          <w:tcPr>
            <w:tcW w:w="2501" w:type="dxa"/>
            <w:tcBorders>
              <w:top w:val="outset" w:sz="6" w:space="0" w:color="auto"/>
              <w:left w:val="outset" w:sz="6" w:space="0" w:color="auto"/>
              <w:bottom w:val="outset" w:sz="6" w:space="0" w:color="auto"/>
              <w:right w:val="outset" w:sz="6" w:space="0" w:color="auto"/>
            </w:tcBorders>
          </w:tcPr>
          <w:p w:rsidR="00232008" w:rsidRPr="00894A73" w:rsidRDefault="00232008" w:rsidP="00D62C55">
            <w:pPr>
              <w:spacing w:after="200" w:line="276" w:lineRule="auto"/>
              <w:ind w:left="-142"/>
              <w:rPr>
                <w:rFonts w:ascii="Century Schoolbook" w:hAnsi="Century Schoolbook"/>
                <w:sz w:val="22"/>
                <w:szCs w:val="22"/>
              </w:rPr>
            </w:pPr>
          </w:p>
        </w:tc>
        <w:tc>
          <w:tcPr>
            <w:tcW w:w="3364" w:type="dxa"/>
            <w:tcBorders>
              <w:top w:val="outset" w:sz="6" w:space="0" w:color="auto"/>
              <w:left w:val="outset" w:sz="6" w:space="0" w:color="auto"/>
              <w:bottom w:val="outset" w:sz="6" w:space="0" w:color="auto"/>
              <w:right w:val="outset" w:sz="6" w:space="0" w:color="auto"/>
            </w:tcBorders>
            <w:vAlign w:val="bottom"/>
            <w:hideMark/>
          </w:tcPr>
          <w:p w:rsidR="00232008" w:rsidRPr="00894A73" w:rsidRDefault="00232008" w:rsidP="00D62C55">
            <w:pPr>
              <w:spacing w:after="200" w:line="276" w:lineRule="auto"/>
              <w:jc w:val="center"/>
              <w:rPr>
                <w:rFonts w:ascii="Century Schoolbook" w:hAnsi="Century Schoolbook"/>
                <w:sz w:val="18"/>
                <w:szCs w:val="18"/>
              </w:rPr>
            </w:pPr>
          </w:p>
        </w:tc>
      </w:tr>
      <w:tr w:rsidR="00232008" w:rsidRPr="00894A73" w:rsidTr="00D62C55">
        <w:trPr>
          <w:trHeight w:val="57"/>
          <w:tblCellSpacing w:w="20" w:type="dxa"/>
        </w:trPr>
        <w:tc>
          <w:tcPr>
            <w:tcW w:w="3254"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должность</w:t>
            </w:r>
          </w:p>
        </w:tc>
        <w:tc>
          <w:tcPr>
            <w:tcW w:w="2501"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подпись</w:t>
            </w:r>
          </w:p>
        </w:tc>
        <w:tc>
          <w:tcPr>
            <w:tcW w:w="3364"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Ф.И.О.</w:t>
            </w:r>
          </w:p>
        </w:tc>
      </w:tr>
      <w:tr w:rsidR="00232008" w:rsidRPr="00894A73" w:rsidTr="00D62C55">
        <w:trPr>
          <w:trHeight w:val="73"/>
          <w:tblCellSpacing w:w="20" w:type="dxa"/>
        </w:trPr>
        <w:tc>
          <w:tcPr>
            <w:tcW w:w="3254" w:type="dxa"/>
            <w:tcBorders>
              <w:top w:val="outset" w:sz="6" w:space="0" w:color="auto"/>
              <w:left w:val="outset" w:sz="6" w:space="0" w:color="auto"/>
              <w:bottom w:val="outset" w:sz="6" w:space="0" w:color="auto"/>
              <w:right w:val="outset" w:sz="6" w:space="0" w:color="auto"/>
            </w:tcBorders>
          </w:tcPr>
          <w:p w:rsidR="00232008" w:rsidRPr="00894A73" w:rsidRDefault="00232008" w:rsidP="00D62C55">
            <w:pPr>
              <w:spacing w:after="200" w:line="276" w:lineRule="auto"/>
              <w:rPr>
                <w:rFonts w:ascii="Century Schoolbook" w:hAnsi="Century Schoolbook"/>
                <w:sz w:val="16"/>
                <w:szCs w:val="16"/>
              </w:rPr>
            </w:pPr>
          </w:p>
        </w:tc>
        <w:tc>
          <w:tcPr>
            <w:tcW w:w="2501" w:type="dxa"/>
            <w:tcBorders>
              <w:top w:val="outset" w:sz="6" w:space="0" w:color="auto"/>
              <w:left w:val="outset" w:sz="6" w:space="0" w:color="auto"/>
              <w:bottom w:val="outset" w:sz="6" w:space="0" w:color="auto"/>
              <w:right w:val="outset" w:sz="6" w:space="0" w:color="auto"/>
            </w:tcBorders>
          </w:tcPr>
          <w:p w:rsidR="00232008" w:rsidRPr="00894A73" w:rsidRDefault="00232008" w:rsidP="00D62C55">
            <w:pPr>
              <w:spacing w:after="200" w:line="276" w:lineRule="auto"/>
              <w:ind w:left="-142"/>
              <w:rPr>
                <w:rFonts w:ascii="Century Schoolbook" w:hAnsi="Century Schoolbook"/>
                <w:b/>
                <w:i/>
                <w:sz w:val="18"/>
                <w:szCs w:val="22"/>
              </w:rPr>
            </w:pPr>
          </w:p>
        </w:tc>
        <w:tc>
          <w:tcPr>
            <w:tcW w:w="3364" w:type="dxa"/>
            <w:tcBorders>
              <w:top w:val="outset" w:sz="6" w:space="0" w:color="auto"/>
              <w:left w:val="outset" w:sz="6" w:space="0" w:color="auto"/>
              <w:bottom w:val="outset" w:sz="6" w:space="0" w:color="auto"/>
              <w:right w:val="outset" w:sz="6" w:space="0" w:color="auto"/>
            </w:tcBorders>
            <w:vAlign w:val="bottom"/>
            <w:hideMark/>
          </w:tcPr>
          <w:p w:rsidR="00232008" w:rsidRPr="00894A73" w:rsidRDefault="00232008" w:rsidP="00D62C55">
            <w:pPr>
              <w:spacing w:after="200" w:line="276" w:lineRule="auto"/>
              <w:ind w:left="-142"/>
              <w:jc w:val="center"/>
              <w:rPr>
                <w:rFonts w:ascii="Century Schoolbook" w:hAnsi="Century Schoolbook"/>
                <w:b/>
                <w:sz w:val="18"/>
                <w:szCs w:val="22"/>
                <w:lang w:val="en-US"/>
              </w:rPr>
            </w:pPr>
            <w:r w:rsidRPr="00894A73">
              <w:rPr>
                <w:rFonts w:ascii="Century Schoolbook" w:hAnsi="Century Schoolbook"/>
                <w:b/>
                <w:sz w:val="18"/>
                <w:szCs w:val="22"/>
              </w:rPr>
              <w:t xml:space="preserve"> </w:t>
            </w:r>
            <w:r w:rsidRPr="00894A73">
              <w:rPr>
                <w:rFonts w:ascii="Calibri" w:hAnsi="Calibri"/>
                <w:b/>
                <w:sz w:val="18"/>
                <w:szCs w:val="22"/>
                <w:lang w:val="en-US"/>
              </w:rPr>
              <w:t xml:space="preserve"> </w:t>
            </w:r>
            <w:r w:rsidRPr="00894A73">
              <w:rPr>
                <w:rFonts w:ascii="Century Schoolbook" w:hAnsi="Century Schoolbook"/>
                <w:b/>
                <w:sz w:val="18"/>
                <w:szCs w:val="22"/>
                <w:lang w:val="en-US"/>
              </w:rPr>
              <w:t xml:space="preserve"> </w:t>
            </w:r>
          </w:p>
        </w:tc>
      </w:tr>
      <w:tr w:rsidR="00232008" w:rsidRPr="00894A73" w:rsidTr="00D62C55">
        <w:trPr>
          <w:trHeight w:val="45"/>
          <w:tblCellSpacing w:w="20" w:type="dxa"/>
        </w:trPr>
        <w:tc>
          <w:tcPr>
            <w:tcW w:w="3254"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rPr>
                <w:rFonts w:ascii="Century Schoolbook" w:hAnsi="Century Schoolbook"/>
                <w:sz w:val="18"/>
                <w:szCs w:val="18"/>
              </w:rPr>
            </w:pPr>
            <w:r w:rsidRPr="00894A73">
              <w:rPr>
                <w:rFonts w:ascii="Century Schoolbook" w:hAnsi="Century Schoolbook"/>
                <w:sz w:val="18"/>
                <w:szCs w:val="18"/>
              </w:rPr>
              <w:t xml:space="preserve">М.П.             </w:t>
            </w:r>
            <w:r w:rsidRPr="00894A73">
              <w:rPr>
                <w:rFonts w:ascii="Century Schoolbook" w:hAnsi="Century Schoolbook"/>
                <w:b/>
                <w:i/>
                <w:sz w:val="14"/>
                <w:szCs w:val="16"/>
              </w:rPr>
              <w:t xml:space="preserve"> должность</w:t>
            </w:r>
          </w:p>
        </w:tc>
        <w:tc>
          <w:tcPr>
            <w:tcW w:w="2501"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подпись</w:t>
            </w:r>
          </w:p>
        </w:tc>
        <w:tc>
          <w:tcPr>
            <w:tcW w:w="3364" w:type="dxa"/>
            <w:tcBorders>
              <w:top w:val="outset" w:sz="6" w:space="0" w:color="auto"/>
              <w:left w:val="outset" w:sz="6" w:space="0" w:color="auto"/>
              <w:bottom w:val="outset" w:sz="6" w:space="0" w:color="auto"/>
              <w:right w:val="outset" w:sz="6" w:space="0" w:color="auto"/>
            </w:tcBorders>
            <w:hideMark/>
          </w:tcPr>
          <w:p w:rsidR="00232008" w:rsidRPr="00894A73" w:rsidRDefault="00232008"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Ф.И.О.</w:t>
            </w:r>
          </w:p>
        </w:tc>
      </w:tr>
    </w:tbl>
    <w:p w:rsidR="00232008" w:rsidRPr="00894A73" w:rsidRDefault="00232008" w:rsidP="00232008">
      <w:pPr>
        <w:pBdr>
          <w:bottom w:val="single" w:sz="8" w:space="1" w:color="auto"/>
        </w:pBdr>
        <w:shd w:val="clear" w:color="auto" w:fill="D6E3BC"/>
        <w:spacing w:line="276" w:lineRule="auto"/>
        <w:jc w:val="both"/>
        <w:rPr>
          <w:rFonts w:ascii="Century Schoolbook" w:hAnsi="Century Schoolbook"/>
          <w:b/>
          <w:sz w:val="16"/>
          <w:szCs w:val="16"/>
        </w:rPr>
      </w:pPr>
      <w:r w:rsidRPr="00894A73">
        <w:rPr>
          <w:rFonts w:ascii="Century Schoolbook" w:hAnsi="Century Schoolbook"/>
          <w:b/>
          <w:sz w:val="16"/>
          <w:szCs w:val="16"/>
        </w:rPr>
        <w:t>ОТМЕТКИ БАНКА</w:t>
      </w:r>
    </w:p>
    <w:p w:rsidR="00232008" w:rsidRPr="00894A73" w:rsidRDefault="00232008" w:rsidP="00232008">
      <w:pPr>
        <w:pBdr>
          <w:bottom w:val="single" w:sz="8" w:space="1" w:color="auto"/>
        </w:pBdr>
        <w:shd w:val="clear" w:color="auto" w:fill="D6E3BC"/>
        <w:spacing w:line="276" w:lineRule="auto"/>
        <w:jc w:val="both"/>
        <w:rPr>
          <w:rFonts w:ascii="Century Schoolbook" w:hAnsi="Century Schoolbook"/>
          <w:b/>
          <w:sz w:val="16"/>
          <w:szCs w:val="16"/>
        </w:rPr>
      </w:pPr>
      <w:r w:rsidRPr="00894A73">
        <w:rPr>
          <w:rFonts w:ascii="Century Schoolbook" w:hAnsi="Century Schoolbook"/>
          <w:b/>
          <w:sz w:val="16"/>
          <w:szCs w:val="16"/>
        </w:rPr>
        <w:t>(дата приема, штамп, Ф.И.О. и подпись сотрудника Банка):</w:t>
      </w:r>
    </w:p>
    <w:p w:rsidR="00232008" w:rsidRPr="00894A73" w:rsidRDefault="00232008" w:rsidP="00232008">
      <w:pPr>
        <w:spacing w:line="276" w:lineRule="auto"/>
        <w:jc w:val="both"/>
        <w:rPr>
          <w:rFonts w:ascii="Century Schoolbook" w:hAnsi="Century Schoolbook"/>
          <w:sz w:val="16"/>
          <w:szCs w:val="16"/>
        </w:rPr>
      </w:pPr>
    </w:p>
    <w:p w:rsidR="00232008" w:rsidRPr="00894A73" w:rsidRDefault="00232008" w:rsidP="00232008">
      <w:pPr>
        <w:spacing w:line="276" w:lineRule="auto"/>
        <w:jc w:val="both"/>
        <w:rPr>
          <w:rFonts w:ascii="Century Schoolbook" w:hAnsi="Century Schoolbook"/>
          <w:sz w:val="16"/>
          <w:szCs w:val="16"/>
        </w:rPr>
      </w:pPr>
      <w:r w:rsidRPr="00894A73">
        <w:rPr>
          <w:rFonts w:ascii="Century Schoolbook" w:hAnsi="Century Schoolbook"/>
          <w:sz w:val="16"/>
          <w:szCs w:val="16"/>
        </w:rPr>
        <w:t>"____" _____________ 202__ г.                                _____________________________________________/___________________</w:t>
      </w:r>
    </w:p>
    <w:p w:rsidR="00DF232E" w:rsidRPr="0016006C" w:rsidRDefault="00DF232E" w:rsidP="00232008">
      <w:pPr>
        <w:keepNext/>
        <w:jc w:val="center"/>
        <w:outlineLvl w:val="2"/>
        <w:rPr>
          <w:b/>
          <w:sz w:val="22"/>
          <w:szCs w:val="22"/>
        </w:rPr>
      </w:pPr>
    </w:p>
    <w:bookmarkEnd w:id="1"/>
    <w:sectPr w:rsidR="00DF232E" w:rsidRPr="0016006C" w:rsidSect="001914F7">
      <w:headerReference w:type="default" r:id="rId8"/>
      <w:footerReference w:type="default" r:id="rId9"/>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8D" w:rsidRDefault="00C7548D" w:rsidP="004541B1">
      <w:r>
        <w:separator/>
      </w:r>
    </w:p>
  </w:endnote>
  <w:endnote w:type="continuationSeparator" w:id="0">
    <w:p w:rsidR="00C7548D" w:rsidRDefault="00C7548D" w:rsidP="004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92844"/>
      <w:docPartObj>
        <w:docPartGallery w:val="Page Numbers (Bottom of Page)"/>
        <w:docPartUnique/>
      </w:docPartObj>
    </w:sdtPr>
    <w:sdtEndPr/>
    <w:sdtContent>
      <w:p w:rsidR="0094052A" w:rsidRDefault="0094052A">
        <w:pPr>
          <w:pStyle w:val="aa"/>
          <w:jc w:val="right"/>
        </w:pPr>
        <w:r>
          <w:fldChar w:fldCharType="begin"/>
        </w:r>
        <w:r>
          <w:instrText>PAGE   \* MERGEFORMAT</w:instrText>
        </w:r>
        <w:r>
          <w:fldChar w:fldCharType="separate"/>
        </w:r>
        <w:r w:rsidR="00754275">
          <w:rPr>
            <w:noProof/>
          </w:rPr>
          <w:t>2</w:t>
        </w:r>
        <w:r>
          <w:fldChar w:fldCharType="end"/>
        </w:r>
      </w:p>
    </w:sdtContent>
  </w:sdt>
  <w:p w:rsidR="0094052A" w:rsidRDefault="009405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8D" w:rsidRDefault="00C7548D" w:rsidP="004541B1">
      <w:r>
        <w:separator/>
      </w:r>
    </w:p>
  </w:footnote>
  <w:footnote w:type="continuationSeparator" w:id="0">
    <w:p w:rsidR="00C7548D" w:rsidRDefault="00C7548D" w:rsidP="004541B1">
      <w:r>
        <w:continuationSeparator/>
      </w:r>
    </w:p>
  </w:footnote>
  <w:footnote w:id="1">
    <w:p w:rsidR="00754275" w:rsidRPr="00E037E2" w:rsidRDefault="00754275" w:rsidP="00754275">
      <w:pPr>
        <w:pStyle w:val="a3"/>
        <w:rPr>
          <w:sz w:val="12"/>
          <w:szCs w:val="12"/>
        </w:rPr>
      </w:pPr>
      <w:r w:rsidRPr="00E037E2">
        <w:rPr>
          <w:rStyle w:val="a5"/>
          <w:sz w:val="12"/>
          <w:szCs w:val="12"/>
        </w:rPr>
        <w:footnoteRef/>
      </w:r>
      <w:r w:rsidRPr="00E037E2">
        <w:rPr>
          <w:sz w:val="12"/>
          <w:szCs w:val="12"/>
        </w:rPr>
        <w:t xml:space="preserve"> Юридических лиц и индивидуальных предпринимателей резидентов Российской Федерации – проверка осуществляется по ИНН</w:t>
      </w:r>
    </w:p>
  </w:footnote>
  <w:footnote w:id="2">
    <w:p w:rsidR="00754275" w:rsidRPr="00E037E2" w:rsidRDefault="00754275" w:rsidP="00754275">
      <w:pPr>
        <w:pStyle w:val="a3"/>
        <w:rPr>
          <w:sz w:val="12"/>
          <w:szCs w:val="12"/>
        </w:rPr>
      </w:pPr>
      <w:r w:rsidRPr="00C8115B">
        <w:rPr>
          <w:sz w:val="12"/>
          <w:szCs w:val="12"/>
          <w:vertAlign w:val="superscript"/>
        </w:rPr>
        <w:footnoteRef/>
      </w:r>
      <w:r w:rsidRPr="00E037E2">
        <w:rPr>
          <w:sz w:val="12"/>
          <w:szCs w:val="12"/>
        </w:rPr>
        <w:t xml:space="preserve"> Консультации по основаниям, не противоречащим абзацу четвертому статьи 4 Федерального закона "О противодействии легализации (отмыванию) доходов, полученных преступным путем, и финансированию терроризма" от 07.08.2001 N 115-ФЗ</w:t>
      </w:r>
    </w:p>
  </w:footnote>
  <w:footnote w:id="3">
    <w:p w:rsidR="00754275" w:rsidRPr="00E037E2" w:rsidRDefault="00754275" w:rsidP="00754275">
      <w:pPr>
        <w:pStyle w:val="a3"/>
        <w:rPr>
          <w:sz w:val="12"/>
          <w:szCs w:val="12"/>
        </w:rPr>
      </w:pPr>
      <w:r w:rsidRPr="00E037E2">
        <w:rPr>
          <w:rStyle w:val="a5"/>
          <w:sz w:val="12"/>
          <w:szCs w:val="12"/>
        </w:rPr>
        <w:footnoteRef/>
      </w:r>
      <w:r w:rsidRPr="00E037E2">
        <w:rPr>
          <w:sz w:val="12"/>
          <w:szCs w:val="12"/>
        </w:rPr>
        <w:t xml:space="preserve"> Федеральный закон "О противодействии легализации (отмыванию) доходов, полученных преступным путем, и финансированию терроризма" от 07.08.2001 N 115-ФЗ</w:t>
      </w:r>
    </w:p>
  </w:footnote>
  <w:footnote w:id="4">
    <w:p w:rsidR="00754275" w:rsidRDefault="00754275" w:rsidP="00754275">
      <w:pPr>
        <w:pStyle w:val="a3"/>
      </w:pPr>
      <w:r w:rsidRPr="00E037E2">
        <w:rPr>
          <w:rStyle w:val="a5"/>
          <w:sz w:val="12"/>
          <w:szCs w:val="12"/>
        </w:rPr>
        <w:footnoteRef/>
      </w:r>
      <w:r w:rsidRPr="00E037E2">
        <w:rPr>
          <w:sz w:val="12"/>
          <w:szCs w:val="12"/>
        </w:rPr>
        <w:t xml:space="preserve"> Реабилитация - процедура устранения оснований по принятию решения об отказе в проведении операции, заключении договора банковского счета (вклада)/ Договора комплексного </w:t>
      </w:r>
      <w:r>
        <w:rPr>
          <w:sz w:val="12"/>
          <w:szCs w:val="12"/>
        </w:rPr>
        <w:t xml:space="preserve">банковского </w:t>
      </w:r>
      <w:r w:rsidRPr="00E037E2">
        <w:rPr>
          <w:sz w:val="12"/>
          <w:szCs w:val="12"/>
        </w:rPr>
        <w:t>обслуживания</w:t>
      </w:r>
      <w:r w:rsidRPr="00E037E2" w:rsidDel="00FC27BD">
        <w:rPr>
          <w:sz w:val="12"/>
          <w:szCs w:val="12"/>
        </w:rPr>
        <w:t>,</w:t>
      </w:r>
      <w:r w:rsidRPr="00E037E2">
        <w:rPr>
          <w:sz w:val="12"/>
          <w:szCs w:val="12"/>
        </w:rPr>
        <w:t xml:space="preserve"> расторжении договора банковского счета (вклада)/ Договора комплексного </w:t>
      </w:r>
      <w:r>
        <w:rPr>
          <w:sz w:val="12"/>
          <w:szCs w:val="12"/>
        </w:rPr>
        <w:t xml:space="preserve">банковского </w:t>
      </w:r>
      <w:r w:rsidRPr="00E037E2">
        <w:rPr>
          <w:sz w:val="12"/>
          <w:szCs w:val="12"/>
        </w:rPr>
        <w:t>обслуживания.</w:t>
      </w:r>
      <w:r w:rsidRPr="00894A73">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F7" w:rsidRDefault="001914F7">
    <w:pPr>
      <w:pStyle w:val="ac"/>
    </w:pPr>
    <w:r w:rsidRPr="00B26E58">
      <w:rPr>
        <w:noProof/>
        <w:sz w:val="22"/>
        <w:szCs w:val="22"/>
      </w:rPr>
      <w:drawing>
        <wp:inline distT="0" distB="0" distL="0" distR="0" wp14:anchorId="17D8C5E1" wp14:editId="722C0F78">
          <wp:extent cx="4755241" cy="644981"/>
          <wp:effectExtent l="0" t="0" r="0" b="3175"/>
          <wp:docPr id="9" name="Рисунок 9" descr="C:\Users\asaenokes\Downloads\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4" descr="C:\Users\asaenokes\Downloads\NEW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97730" cy="6507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CB8"/>
    <w:multiLevelType w:val="hybridMultilevel"/>
    <w:tmpl w:val="2C5E9C82"/>
    <w:lvl w:ilvl="0" w:tplc="AC5275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CFE6931"/>
    <w:multiLevelType w:val="hybridMultilevel"/>
    <w:tmpl w:val="9F18FD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443570"/>
    <w:multiLevelType w:val="hybridMultilevel"/>
    <w:tmpl w:val="6D5A7F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C32E1F"/>
    <w:multiLevelType w:val="hybridMultilevel"/>
    <w:tmpl w:val="2EA83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B22D1"/>
    <w:multiLevelType w:val="multilevel"/>
    <w:tmpl w:val="A4C0EA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2204D8E"/>
    <w:multiLevelType w:val="singleLevel"/>
    <w:tmpl w:val="2B222BDC"/>
    <w:lvl w:ilvl="0">
      <w:start w:val="4"/>
      <w:numFmt w:val="bullet"/>
      <w:lvlText w:val=""/>
      <w:lvlJc w:val="left"/>
      <w:pPr>
        <w:tabs>
          <w:tab w:val="num" w:pos="502"/>
        </w:tabs>
        <w:ind w:left="502" w:hanging="360"/>
      </w:pPr>
      <w:rPr>
        <w:rFonts w:ascii="Wingdings" w:hAnsi="Wingdings" w:hint="default"/>
        <w:sz w:val="18"/>
        <w:szCs w:val="18"/>
      </w:rPr>
    </w:lvl>
  </w:abstractNum>
  <w:abstractNum w:abstractNumId="6" w15:restartNumberingAfterBreak="0">
    <w:nsid w:val="52FE2597"/>
    <w:multiLevelType w:val="multilevel"/>
    <w:tmpl w:val="8924C85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34"/>
    <w:rsid w:val="00020B15"/>
    <w:rsid w:val="00041166"/>
    <w:rsid w:val="00053530"/>
    <w:rsid w:val="000F3E89"/>
    <w:rsid w:val="00111598"/>
    <w:rsid w:val="00125E54"/>
    <w:rsid w:val="0016006C"/>
    <w:rsid w:val="001914F7"/>
    <w:rsid w:val="001C57AF"/>
    <w:rsid w:val="001D141F"/>
    <w:rsid w:val="001D7A2D"/>
    <w:rsid w:val="0022709A"/>
    <w:rsid w:val="00232008"/>
    <w:rsid w:val="0029672D"/>
    <w:rsid w:val="002B1481"/>
    <w:rsid w:val="002F751D"/>
    <w:rsid w:val="003A7EEB"/>
    <w:rsid w:val="00410AC4"/>
    <w:rsid w:val="004541B1"/>
    <w:rsid w:val="00463639"/>
    <w:rsid w:val="004901D6"/>
    <w:rsid w:val="00491159"/>
    <w:rsid w:val="004E10D1"/>
    <w:rsid w:val="005605E2"/>
    <w:rsid w:val="005A049E"/>
    <w:rsid w:val="00604F20"/>
    <w:rsid w:val="00615019"/>
    <w:rsid w:val="00635B96"/>
    <w:rsid w:val="006A1645"/>
    <w:rsid w:val="006B5AEB"/>
    <w:rsid w:val="006F5C68"/>
    <w:rsid w:val="00754275"/>
    <w:rsid w:val="007574B3"/>
    <w:rsid w:val="007919A6"/>
    <w:rsid w:val="008107CF"/>
    <w:rsid w:val="0083037C"/>
    <w:rsid w:val="00856B2A"/>
    <w:rsid w:val="00862982"/>
    <w:rsid w:val="00865823"/>
    <w:rsid w:val="008858C9"/>
    <w:rsid w:val="008D7443"/>
    <w:rsid w:val="00900534"/>
    <w:rsid w:val="0093280B"/>
    <w:rsid w:val="0094052A"/>
    <w:rsid w:val="009C1626"/>
    <w:rsid w:val="009E359F"/>
    <w:rsid w:val="00A07D29"/>
    <w:rsid w:val="00A41CE3"/>
    <w:rsid w:val="00A878F1"/>
    <w:rsid w:val="00B31D55"/>
    <w:rsid w:val="00BD1F7D"/>
    <w:rsid w:val="00C55172"/>
    <w:rsid w:val="00C60A50"/>
    <w:rsid w:val="00C7548D"/>
    <w:rsid w:val="00C87762"/>
    <w:rsid w:val="00D211D1"/>
    <w:rsid w:val="00D21D7F"/>
    <w:rsid w:val="00D60384"/>
    <w:rsid w:val="00DD01F4"/>
    <w:rsid w:val="00DD0232"/>
    <w:rsid w:val="00DF232E"/>
    <w:rsid w:val="00E144BD"/>
    <w:rsid w:val="00E35F3E"/>
    <w:rsid w:val="00E421C2"/>
    <w:rsid w:val="00EF2403"/>
    <w:rsid w:val="00F724A8"/>
    <w:rsid w:val="00FA62AB"/>
    <w:rsid w:val="00FD2D34"/>
    <w:rsid w:val="00FD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6BE3A4D-A1E5-4AFF-B1FC-1BE29D6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41B1"/>
    <w:pPr>
      <w:keepNext/>
      <w:jc w:val="center"/>
      <w:outlineLvl w:val="0"/>
    </w:pPr>
    <w:rPr>
      <w:b/>
      <w:bCs/>
      <w:sz w:val="22"/>
      <w:szCs w:val="22"/>
    </w:rPr>
  </w:style>
  <w:style w:type="paragraph" w:styleId="3">
    <w:name w:val="heading 3"/>
    <w:basedOn w:val="a"/>
    <w:next w:val="a"/>
    <w:link w:val="30"/>
    <w:uiPriority w:val="9"/>
    <w:semiHidden/>
    <w:unhideWhenUsed/>
    <w:qFormat/>
    <w:rsid w:val="0094052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1B1"/>
    <w:rPr>
      <w:rFonts w:ascii="Times New Roman" w:eastAsia="Times New Roman" w:hAnsi="Times New Roman" w:cs="Times New Roman"/>
      <w:b/>
      <w:bCs/>
      <w:lang w:eastAsia="ru-RU"/>
    </w:rPr>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rsid w:val="004541B1"/>
    <w:pPr>
      <w:widowControl w:val="0"/>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4541B1"/>
    <w:rPr>
      <w:rFonts w:ascii="Times New Roman" w:eastAsia="Times New Roman" w:hAnsi="Times New Roman" w:cs="Times New Roman"/>
      <w:sz w:val="20"/>
      <w:szCs w:val="20"/>
      <w:lang w:eastAsia="ru-RU"/>
    </w:rPr>
  </w:style>
  <w:style w:type="character" w:styleId="a5">
    <w:name w:val="footnote reference"/>
    <w:uiPriority w:val="99"/>
    <w:rsid w:val="004541B1"/>
    <w:rPr>
      <w:vertAlign w:val="superscript"/>
    </w:rPr>
  </w:style>
  <w:style w:type="table" w:customStyle="1" w:styleId="11">
    <w:name w:val="Сетка таблицы11"/>
    <w:basedOn w:val="a1"/>
    <w:next w:val="a6"/>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21C2"/>
    <w:rPr>
      <w:rFonts w:ascii="Segoe UI" w:hAnsi="Segoe UI" w:cs="Segoe UI"/>
      <w:sz w:val="18"/>
      <w:szCs w:val="18"/>
    </w:rPr>
  </w:style>
  <w:style w:type="character" w:customStyle="1" w:styleId="a8">
    <w:name w:val="Текст выноски Знак"/>
    <w:basedOn w:val="a0"/>
    <w:link w:val="a7"/>
    <w:uiPriority w:val="99"/>
    <w:semiHidden/>
    <w:rsid w:val="00E421C2"/>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94052A"/>
    <w:rPr>
      <w:rFonts w:asciiTheme="majorHAnsi" w:eastAsiaTheme="majorEastAsia" w:hAnsiTheme="majorHAnsi" w:cstheme="majorBidi"/>
      <w:color w:val="1F4D78" w:themeColor="accent1" w:themeShade="7F"/>
      <w:sz w:val="24"/>
      <w:szCs w:val="24"/>
      <w:lang w:eastAsia="ru-RU"/>
    </w:rPr>
  </w:style>
  <w:style w:type="paragraph" w:styleId="a9">
    <w:name w:val="List Paragraph"/>
    <w:basedOn w:val="a"/>
    <w:uiPriority w:val="34"/>
    <w:qFormat/>
    <w:rsid w:val="0094052A"/>
    <w:pPr>
      <w:spacing w:after="200" w:line="276" w:lineRule="auto"/>
      <w:ind w:left="720"/>
      <w:contextualSpacing/>
    </w:pPr>
    <w:rPr>
      <w:rFonts w:ascii="Calibri" w:hAnsi="Calibri"/>
      <w:sz w:val="22"/>
      <w:szCs w:val="22"/>
    </w:rPr>
  </w:style>
  <w:style w:type="paragraph" w:styleId="aa">
    <w:name w:val="footer"/>
    <w:basedOn w:val="a"/>
    <w:link w:val="ab"/>
    <w:uiPriority w:val="99"/>
    <w:unhideWhenUsed/>
    <w:rsid w:val="0094052A"/>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94052A"/>
    <w:rPr>
      <w:rFonts w:ascii="Calibri" w:eastAsia="Times New Roman" w:hAnsi="Calibri" w:cs="Times New Roman"/>
      <w:lang w:eastAsia="ru-RU"/>
    </w:rPr>
  </w:style>
  <w:style w:type="paragraph" w:styleId="ac">
    <w:name w:val="header"/>
    <w:basedOn w:val="a"/>
    <w:link w:val="ad"/>
    <w:uiPriority w:val="99"/>
    <w:unhideWhenUsed/>
    <w:rsid w:val="001914F7"/>
    <w:pPr>
      <w:tabs>
        <w:tab w:val="center" w:pos="4677"/>
        <w:tab w:val="right" w:pos="9355"/>
      </w:tabs>
    </w:pPr>
  </w:style>
  <w:style w:type="character" w:customStyle="1" w:styleId="ad">
    <w:name w:val="Верхний колонтитул Знак"/>
    <w:basedOn w:val="a0"/>
    <w:link w:val="ac"/>
    <w:uiPriority w:val="99"/>
    <w:rsid w:val="001914F7"/>
    <w:rPr>
      <w:rFonts w:ascii="Times New Roman" w:eastAsia="Times New Roman" w:hAnsi="Times New Roman" w:cs="Times New Roman"/>
      <w:sz w:val="24"/>
      <w:szCs w:val="24"/>
      <w:lang w:eastAsia="ru-RU"/>
    </w:rPr>
  </w:style>
  <w:style w:type="table" w:customStyle="1" w:styleId="191">
    <w:name w:val="Сетка таблицы191"/>
    <w:basedOn w:val="a1"/>
    <w:next w:val="a6"/>
    <w:uiPriority w:val="39"/>
    <w:rsid w:val="0023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D314-8C9E-451C-A6F6-7459328F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Болдубаева Татьяна Алексеевна</dc:creator>
  <cp:keywords/>
  <dc:description/>
  <cp:lastModifiedBy>Лысюк Анастасия Михайловна</cp:lastModifiedBy>
  <cp:revision>5</cp:revision>
  <dcterms:created xsi:type="dcterms:W3CDTF">2023-09-07T14:00:00Z</dcterms:created>
  <dcterms:modified xsi:type="dcterms:W3CDTF">2025-02-26T14:26:00Z</dcterms:modified>
</cp:coreProperties>
</file>