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A4" w:rsidRPr="00661CAA" w:rsidRDefault="007F3374" w:rsidP="003D4BC2">
      <w:pPr>
        <w:pStyle w:val="a4"/>
        <w:jc w:val="both"/>
        <w:rPr>
          <w:rFonts w:ascii="Times New Roman" w:eastAsia="Times New Roman" w:hAnsi="Times New Roman"/>
          <w:b/>
          <w:spacing w:val="-4"/>
          <w:sz w:val="18"/>
          <w:szCs w:val="18"/>
          <w:lang w:eastAsia="ru-RU"/>
        </w:rPr>
      </w:pPr>
      <w:r w:rsidRPr="00254F6A">
        <w:rPr>
          <w:rStyle w:val="FontStyle33"/>
          <w:rFonts w:ascii="Times New Roman" w:hAnsi="Times New Roman" w:cs="Times New Roman"/>
          <w:sz w:val="17"/>
          <w:szCs w:val="17"/>
        </w:rPr>
        <w:tab/>
        <w:t xml:space="preserve">     </w:t>
      </w:r>
      <w:r w:rsidRPr="00254F6A">
        <w:rPr>
          <w:rStyle w:val="FontStyle33"/>
          <w:rFonts w:ascii="Times New Roman" w:hAnsi="Times New Roman" w:cs="Times New Roman"/>
          <w:sz w:val="17"/>
          <w:szCs w:val="17"/>
        </w:rPr>
        <w:tab/>
      </w:r>
      <w:r w:rsidRPr="00254F6A">
        <w:rPr>
          <w:rStyle w:val="FontStyle33"/>
          <w:rFonts w:ascii="Times New Roman" w:hAnsi="Times New Roman" w:cs="Times New Roman"/>
          <w:sz w:val="17"/>
          <w:szCs w:val="17"/>
        </w:rPr>
        <w:tab/>
      </w:r>
      <w:r w:rsidRPr="00254F6A">
        <w:rPr>
          <w:rStyle w:val="FontStyle33"/>
          <w:rFonts w:ascii="Times New Roman" w:hAnsi="Times New Roman" w:cs="Times New Roman"/>
          <w:sz w:val="17"/>
          <w:szCs w:val="17"/>
        </w:rPr>
        <w:tab/>
        <w:t xml:space="preserve">   </w:t>
      </w:r>
      <w:r w:rsidRPr="00254F6A">
        <w:rPr>
          <w:rStyle w:val="FontStyle33"/>
          <w:rFonts w:ascii="Times New Roman" w:hAnsi="Times New Roman" w:cs="Times New Roman"/>
          <w:sz w:val="17"/>
          <w:szCs w:val="17"/>
        </w:rPr>
        <w:tab/>
      </w:r>
      <w:r w:rsidR="00513349" w:rsidRPr="00661CAA">
        <w:rPr>
          <w:rFonts w:ascii="Times New Roman" w:eastAsia="Times New Roman" w:hAnsi="Times New Roman"/>
          <w:b/>
          <w:spacing w:val="-4"/>
          <w:sz w:val="18"/>
          <w:szCs w:val="18"/>
          <w:lang w:eastAsia="ru-RU"/>
        </w:rPr>
        <w:t>ДЕКЛАРАЦИЯ О РИСКАХ</w:t>
      </w:r>
    </w:p>
    <w:p w:rsidR="00724CA4" w:rsidRPr="00661CAA" w:rsidRDefault="00724CA4" w:rsidP="00724CA4">
      <w:pPr>
        <w:widowControl w:val="0"/>
        <w:autoSpaceDE w:val="0"/>
        <w:autoSpaceDN w:val="0"/>
        <w:spacing w:after="0" w:line="240" w:lineRule="auto"/>
        <w:ind w:left="284"/>
        <w:jc w:val="both"/>
        <w:rPr>
          <w:rFonts w:ascii="Times New Roman" w:eastAsia="Times New Roman" w:hAnsi="Times New Roman"/>
          <w:spacing w:val="-4"/>
          <w:sz w:val="18"/>
          <w:szCs w:val="18"/>
          <w:lang w:eastAsia="ru-RU"/>
        </w:rPr>
      </w:pPr>
    </w:p>
    <w:p w:rsidR="00724CA4" w:rsidRPr="00661CAA" w:rsidRDefault="00724CA4">
      <w:pPr>
        <w:widowControl w:val="0"/>
        <w:autoSpaceDE w:val="0"/>
        <w:autoSpaceDN w:val="0"/>
        <w:spacing w:after="0" w:line="240" w:lineRule="auto"/>
        <w:ind w:firstLine="708"/>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Настоящая Декларация разработана </w:t>
      </w:r>
      <w:r w:rsidR="000C61B5" w:rsidRPr="00661CAA">
        <w:rPr>
          <w:rFonts w:ascii="Times New Roman" w:eastAsia="Times New Roman" w:hAnsi="Times New Roman"/>
          <w:bCs/>
          <w:sz w:val="18"/>
          <w:szCs w:val="18"/>
          <w:lang w:eastAsia="ru-RU"/>
        </w:rPr>
        <w:t>ПАО «Совкомбанк»</w:t>
      </w:r>
      <w:r w:rsidRPr="00661CAA">
        <w:rPr>
          <w:rFonts w:ascii="Times New Roman" w:eastAsia="Times New Roman" w:hAnsi="Times New Roman"/>
          <w:bCs/>
          <w:sz w:val="18"/>
          <w:szCs w:val="18"/>
          <w:lang w:eastAsia="ru-RU"/>
        </w:rPr>
        <w:t xml:space="preserve"> (далее – Банк) в соответствии с требованиями действующего законодательства Российской Федерации</w:t>
      </w:r>
      <w:r w:rsidR="00513349" w:rsidRPr="00661CAA">
        <w:rPr>
          <w:rFonts w:ascii="Times New Roman" w:eastAsia="Times New Roman" w:hAnsi="Times New Roman"/>
          <w:bCs/>
          <w:sz w:val="18"/>
          <w:szCs w:val="18"/>
          <w:lang w:eastAsia="ru-RU"/>
        </w:rPr>
        <w:t xml:space="preserve"> и стандартами СРО</w:t>
      </w:r>
      <w:r w:rsidR="001B565C" w:rsidRPr="00661CAA">
        <w:rPr>
          <w:rFonts w:ascii="Times New Roman" w:eastAsia="Times New Roman" w:hAnsi="Times New Roman"/>
          <w:bCs/>
          <w:sz w:val="18"/>
          <w:szCs w:val="18"/>
          <w:lang w:eastAsia="ru-RU"/>
        </w:rPr>
        <w:t>, членом которой является Банк</w:t>
      </w:r>
      <w:r w:rsidRPr="00661CAA">
        <w:rPr>
          <w:rFonts w:ascii="Times New Roman" w:eastAsia="Times New Roman" w:hAnsi="Times New Roman"/>
          <w:bCs/>
          <w:sz w:val="18"/>
          <w:szCs w:val="18"/>
          <w:lang w:eastAsia="ru-RU"/>
        </w:rPr>
        <w:t>.</w:t>
      </w:r>
    </w:p>
    <w:p w:rsidR="00724CA4" w:rsidRPr="00661CAA" w:rsidRDefault="003D4BC2" w:rsidP="00336E35">
      <w:pPr>
        <w:widowControl w:val="0"/>
        <w:autoSpaceDE w:val="0"/>
        <w:autoSpaceDN w:val="0"/>
        <w:spacing w:after="0" w:line="240" w:lineRule="auto"/>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w:t>
      </w:r>
      <w:r w:rsidR="00724CA4" w:rsidRPr="00661CAA">
        <w:rPr>
          <w:rFonts w:ascii="Times New Roman" w:eastAsia="Times New Roman" w:hAnsi="Times New Roman"/>
          <w:bCs/>
          <w:sz w:val="18"/>
          <w:szCs w:val="18"/>
          <w:lang w:eastAsia="ru-RU"/>
        </w:rPr>
        <w:t>Декларация предоставляется всем лицам, заявившим о намерении совершать операции на финансовых рынках с использованием брокерских услуг Банка.</w:t>
      </w:r>
    </w:p>
    <w:p w:rsidR="00254F6A" w:rsidRPr="00661CAA" w:rsidRDefault="003D4BC2" w:rsidP="00336E35">
      <w:pPr>
        <w:widowControl w:val="0"/>
        <w:autoSpaceDE w:val="0"/>
        <w:autoSpaceDN w:val="0"/>
        <w:spacing w:after="0" w:line="240" w:lineRule="auto"/>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Конфликт интересов при осуществлении профессиональной деятельности на рынке ценных бумаг способен привести к неблагоприятным последствиям и причинению Клиенту убытков. </w:t>
      </w:r>
    </w:p>
    <w:p w:rsidR="003D4BC2" w:rsidRPr="00661CAA" w:rsidRDefault="003D4BC2" w:rsidP="00254F6A">
      <w:pPr>
        <w:widowControl w:val="0"/>
        <w:autoSpaceDE w:val="0"/>
        <w:autoSpaceDN w:val="0"/>
        <w:spacing w:after="0" w:line="240" w:lineRule="auto"/>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br/>
        <w:t>Конфликт интересов может возникнуть при наличии следующих обстоятельств:</w:t>
      </w:r>
    </w:p>
    <w:p w:rsidR="00E85965" w:rsidRPr="00661CAA" w:rsidRDefault="00E85965" w:rsidP="00254F6A">
      <w:pPr>
        <w:widowControl w:val="0"/>
        <w:autoSpaceDE w:val="0"/>
        <w:autoSpaceDN w:val="0"/>
        <w:spacing w:after="0" w:line="240" w:lineRule="auto"/>
        <w:jc w:val="both"/>
        <w:rPr>
          <w:rFonts w:ascii="Times New Roman" w:eastAsia="Times New Roman" w:hAnsi="Times New Roman"/>
          <w:bCs/>
          <w:sz w:val="18"/>
          <w:szCs w:val="18"/>
          <w:lang w:eastAsia="ru-RU"/>
        </w:rPr>
      </w:pPr>
    </w:p>
    <w:p w:rsidR="00254F6A" w:rsidRPr="00661CAA" w:rsidRDefault="003D4BC2" w:rsidP="00E85965">
      <w:pPr>
        <w:pStyle w:val="a3"/>
        <w:widowControl w:val="0"/>
        <w:numPr>
          <w:ilvl w:val="0"/>
          <w:numId w:val="11"/>
        </w:numPr>
        <w:autoSpaceDE w:val="0"/>
        <w:autoSpaceDN w:val="0"/>
        <w:spacing w:after="0" w:line="240" w:lineRule="auto"/>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когда Банк и/или аффилированное лицо Банка является собственником или эмитентом финансовых инструментов (имеет иную заинтересованность в совершении сделок с этими финансовыми инструментами или в изменении рыночной цены финансовых инструментов), с которыми совершаются сделки в интересах Клиента; </w:t>
      </w:r>
    </w:p>
    <w:p w:rsidR="00E85965" w:rsidRPr="00661CAA" w:rsidRDefault="003D4BC2" w:rsidP="00E85965">
      <w:pPr>
        <w:pStyle w:val="a3"/>
        <w:widowControl w:val="0"/>
        <w:numPr>
          <w:ilvl w:val="0"/>
          <w:numId w:val="11"/>
        </w:numPr>
        <w:autoSpaceDE w:val="0"/>
        <w:autoSpaceDN w:val="0"/>
        <w:spacing w:after="0" w:line="240" w:lineRule="auto"/>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когда Банк одновременно осуществляет различные виды профессиональной деятельности на рынке ценных бумаг; </w:t>
      </w:r>
    </w:p>
    <w:p w:rsidR="00254F6A" w:rsidRPr="00661CAA" w:rsidRDefault="003D4BC2" w:rsidP="00E85965">
      <w:pPr>
        <w:pStyle w:val="a3"/>
        <w:widowControl w:val="0"/>
        <w:numPr>
          <w:ilvl w:val="0"/>
          <w:numId w:val="11"/>
        </w:numPr>
        <w:autoSpaceDE w:val="0"/>
        <w:autoSpaceDN w:val="0"/>
        <w:spacing w:after="0" w:line="240" w:lineRule="auto"/>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когда существует или потенциально может возникнуть противоречие между частными интересами работника (членов его семьи и/или иных лиц, с которыми связана личная заинтересованность работника) и правами и интересами Клиентов, которое влияет или может оказать влияние на выполнение работником своих профессиональных обязанностей, в частности на процесс принятия им решения, и обусловливает или может обусловить нанесение ущерба правам и интересам Клиентов; </w:t>
      </w:r>
    </w:p>
    <w:p w:rsidR="00254F6A" w:rsidRPr="00661CAA" w:rsidRDefault="003D4BC2" w:rsidP="00E85965">
      <w:pPr>
        <w:pStyle w:val="a3"/>
        <w:widowControl w:val="0"/>
        <w:numPr>
          <w:ilvl w:val="0"/>
          <w:numId w:val="11"/>
        </w:numPr>
        <w:autoSpaceDE w:val="0"/>
        <w:autoSpaceDN w:val="0"/>
        <w:spacing w:after="0" w:line="240" w:lineRule="auto"/>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когда интерес Банка, членов его органов управления, работников, лиц, действующих за его счет, отдельных его Клиентов, контролирующих лиц Банка и подконтрольных лиц Банка отличается от интересов Клиента Банка при совершении юридических и (или) фактических действий, влияющих на связанные с оказанием услуг Банка интересы его Клиента, что может привести к возникновению у Клиента Банка убытков; </w:t>
      </w:r>
    </w:p>
    <w:p w:rsidR="00254F6A" w:rsidRPr="00661CAA" w:rsidRDefault="003D4BC2" w:rsidP="00E85965">
      <w:pPr>
        <w:pStyle w:val="a3"/>
        <w:widowControl w:val="0"/>
        <w:numPr>
          <w:ilvl w:val="0"/>
          <w:numId w:val="11"/>
        </w:numPr>
        <w:autoSpaceDE w:val="0"/>
        <w:autoSpaceDN w:val="0"/>
        <w:spacing w:after="0" w:line="240" w:lineRule="auto"/>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когда возникает или может возникнуть противоречие между обязательствами Банка перед разными Клиентами и интересами этих разных Клиентов; </w:t>
      </w:r>
    </w:p>
    <w:p w:rsidR="00254F6A" w:rsidRPr="00661CAA" w:rsidRDefault="003D4BC2" w:rsidP="00E85965">
      <w:pPr>
        <w:pStyle w:val="a3"/>
        <w:widowControl w:val="0"/>
        <w:numPr>
          <w:ilvl w:val="0"/>
          <w:numId w:val="11"/>
        </w:numPr>
        <w:autoSpaceDE w:val="0"/>
        <w:autoSpaceDN w:val="0"/>
        <w:spacing w:after="0" w:line="240" w:lineRule="auto"/>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когда Банком оказываются для одного Клиента услуги по размещению выпуска ценных бумаг, а для другого Клиента осуществляется оказание брокерских услуг. </w:t>
      </w:r>
    </w:p>
    <w:p w:rsidR="003D4BC2" w:rsidRPr="00661CAA" w:rsidRDefault="003D4BC2" w:rsidP="00254F6A">
      <w:pPr>
        <w:widowControl w:val="0"/>
        <w:autoSpaceDE w:val="0"/>
        <w:autoSpaceDN w:val="0"/>
        <w:spacing w:after="0" w:line="240" w:lineRule="auto"/>
        <w:ind w:firstLine="600"/>
        <w:jc w:val="both"/>
        <w:rPr>
          <w:rFonts w:ascii="Times New Roman" w:hAnsi="Times New Roman"/>
          <w:sz w:val="18"/>
          <w:szCs w:val="18"/>
        </w:rPr>
      </w:pPr>
      <w:r w:rsidRPr="00661CAA">
        <w:rPr>
          <w:rFonts w:ascii="Times New Roman" w:eastAsia="Times New Roman" w:hAnsi="Times New Roman"/>
          <w:bCs/>
          <w:sz w:val="18"/>
          <w:szCs w:val="18"/>
          <w:lang w:eastAsia="ru-RU"/>
        </w:rPr>
        <w:br/>
        <w:t>Указанный перечень обстоятельств, при которых могут возникать конфликты интересов, не является исчерпывающим.</w:t>
      </w:r>
      <w:r w:rsidRPr="00661CAA">
        <w:rPr>
          <w:rFonts w:ascii="Times New Roman" w:eastAsia="Times New Roman" w:hAnsi="Times New Roman"/>
          <w:bCs/>
          <w:sz w:val="18"/>
          <w:szCs w:val="18"/>
          <w:lang w:eastAsia="ru-RU"/>
        </w:rPr>
        <w:br/>
      </w:r>
      <w:r w:rsidRPr="00661CAA">
        <w:rPr>
          <w:rFonts w:ascii="Times New Roman" w:eastAsia="Times New Roman" w:hAnsi="Times New Roman"/>
          <w:bCs/>
          <w:sz w:val="18"/>
          <w:szCs w:val="18"/>
          <w:lang w:eastAsia="ru-RU"/>
        </w:rPr>
        <w:br/>
        <w:t>В целях выявления конфликта интересов, предотвращения возникновения и реализации конфликта интересов, а также управления им в Банке при осуществлении профессиональной деятельности на рынке ценных бумаг принимаются все разумные меры</w:t>
      </w:r>
      <w:r w:rsidRPr="00661CAA">
        <w:rPr>
          <w:rFonts w:ascii="Times New Roman" w:hAnsi="Times New Roman"/>
          <w:sz w:val="18"/>
          <w:szCs w:val="18"/>
        </w:rPr>
        <w:t>.</w:t>
      </w:r>
    </w:p>
    <w:p w:rsidR="00034B60" w:rsidRPr="00661CAA" w:rsidRDefault="00034B60" w:rsidP="00034B60">
      <w:pPr>
        <w:widowControl w:val="0"/>
        <w:autoSpaceDE w:val="0"/>
        <w:autoSpaceDN w:val="0"/>
        <w:spacing w:after="0" w:line="240" w:lineRule="auto"/>
        <w:ind w:firstLine="600"/>
        <w:jc w:val="both"/>
        <w:rPr>
          <w:rFonts w:ascii="Times New Roman" w:hAnsi="Times New Roman"/>
          <w:sz w:val="18"/>
          <w:szCs w:val="18"/>
        </w:rPr>
      </w:pPr>
    </w:p>
    <w:p w:rsidR="007371EB" w:rsidRPr="00661CAA" w:rsidRDefault="00381CE7" w:rsidP="00336E35">
      <w:pPr>
        <w:pStyle w:val="a3"/>
        <w:numPr>
          <w:ilvl w:val="0"/>
          <w:numId w:val="10"/>
        </w:numPr>
        <w:jc w:val="center"/>
        <w:rPr>
          <w:rFonts w:ascii="Times New Roman" w:hAnsi="Times New Roman"/>
          <w:b/>
          <w:sz w:val="18"/>
          <w:szCs w:val="18"/>
          <w:lang w:eastAsia="ru-RU"/>
        </w:rPr>
      </w:pPr>
      <w:r w:rsidRPr="00661CAA">
        <w:rPr>
          <w:rFonts w:ascii="Times New Roman" w:hAnsi="Times New Roman"/>
          <w:b/>
          <w:sz w:val="18"/>
          <w:szCs w:val="18"/>
          <w:lang w:eastAsia="ru-RU"/>
        </w:rPr>
        <w:t>Риски,</w:t>
      </w:r>
      <w:r w:rsidR="007371EB" w:rsidRPr="00661CAA">
        <w:rPr>
          <w:rFonts w:ascii="Times New Roman" w:hAnsi="Times New Roman"/>
          <w:b/>
          <w:sz w:val="18"/>
          <w:szCs w:val="18"/>
          <w:lang w:eastAsia="ru-RU"/>
        </w:rPr>
        <w:t xml:space="preserve"> связанные с инве</w:t>
      </w:r>
      <w:r w:rsidR="002D1B7B" w:rsidRPr="00661CAA">
        <w:rPr>
          <w:rFonts w:ascii="Times New Roman" w:hAnsi="Times New Roman"/>
          <w:b/>
          <w:sz w:val="18"/>
          <w:szCs w:val="18"/>
          <w:lang w:eastAsia="ru-RU"/>
        </w:rPr>
        <w:t>стированием на финансовом рынке</w:t>
      </w:r>
    </w:p>
    <w:p w:rsidR="00530940" w:rsidRPr="00661CAA" w:rsidRDefault="00530940" w:rsidP="004F132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Клиент осознает, что инвестирование средств в Инструменты финансового рынка сопряжено с определенными рисками, ответственность за которые не может быть возложена на </w:t>
      </w:r>
      <w:r w:rsidR="00DF4588"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 так как они находятся вне разумного контроля Сторон и их возможности предвидеть и предотвратить последствия таких рисков ограничены. Эти риски связаны, в том числе с нестабильностью политической и экономической ситуации в РФ и несовершенством законодательной базы РФ. На основании вышеизложенного Клиент должен самостоятельно оценивать возможность осуществления своих инвестиций, при этом </w:t>
      </w:r>
      <w:r w:rsidR="00DF4588"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rsidR="00530940" w:rsidRPr="00661CAA" w:rsidRDefault="00530940" w:rsidP="004F132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Инструменты финансового рынка в Российской Федерации.</w:t>
      </w:r>
    </w:p>
    <w:p w:rsidR="00530940" w:rsidRPr="00661CAA" w:rsidRDefault="00530940" w:rsidP="004F132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p>
    <w:p w:rsidR="00530940" w:rsidRPr="00661CAA" w:rsidRDefault="00530940" w:rsidP="004F132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Политический риск</w:t>
      </w:r>
      <w:r w:rsidRPr="00661CAA">
        <w:rPr>
          <w:rFonts w:ascii="Times New Roman" w:eastAsia="Times New Roman" w:hAnsi="Times New Roman"/>
          <w:bCs/>
          <w:sz w:val="18"/>
          <w:szCs w:val="18"/>
          <w:lang w:eastAsia="ru-RU"/>
        </w:rPr>
        <w:t xml:space="preserve"> - риск финансовых потерь со стороны </w:t>
      </w:r>
      <w:r w:rsidR="00DF4588"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rsidR="004F132E" w:rsidRPr="00661CAA" w:rsidRDefault="004F132E" w:rsidP="004F132E">
      <w:pPr>
        <w:spacing w:after="0" w:line="240" w:lineRule="auto"/>
        <w:ind w:firstLine="709"/>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 xml:space="preserve">Системный риск - </w:t>
      </w:r>
      <w:r w:rsidRPr="00661CAA">
        <w:rPr>
          <w:rFonts w:ascii="Times New Roman" w:eastAsia="Times New Roman" w:hAnsi="Times New Roman"/>
          <w:bCs/>
          <w:sz w:val="18"/>
          <w:szCs w:val="18"/>
          <w:lang w:eastAsia="ru-RU"/>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4F132E" w:rsidRPr="00661CAA" w:rsidRDefault="004F132E" w:rsidP="004F132E">
      <w:pPr>
        <w:spacing w:after="0" w:line="240" w:lineRule="auto"/>
        <w:ind w:firstLine="709"/>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 xml:space="preserve">Рыночный риск - </w:t>
      </w:r>
      <w:r w:rsidRPr="00661CAA">
        <w:rPr>
          <w:rFonts w:ascii="Times New Roman" w:eastAsia="Times New Roman" w:hAnsi="Times New Roman"/>
          <w:bCs/>
          <w:sz w:val="18"/>
          <w:szCs w:val="18"/>
          <w:lang w:eastAsia="ru-RU"/>
        </w:rPr>
        <w:t xml:space="preserve">этот риск проявляется в неблагоприятном изменении цен (стоимости) принадлежащих </w:t>
      </w:r>
      <w:r w:rsidR="00086E91" w:rsidRPr="00661CAA">
        <w:rPr>
          <w:rFonts w:ascii="Times New Roman" w:eastAsia="Times New Roman" w:hAnsi="Times New Roman"/>
          <w:bCs/>
          <w:sz w:val="18"/>
          <w:szCs w:val="18"/>
          <w:lang w:eastAsia="ru-RU"/>
        </w:rPr>
        <w:t>Клиенту</w:t>
      </w:r>
      <w:r w:rsidRPr="00661CAA">
        <w:rPr>
          <w:rFonts w:ascii="Times New Roman" w:eastAsia="Times New Roman" w:hAnsi="Times New Roman"/>
          <w:bCs/>
          <w:sz w:val="18"/>
          <w:szCs w:val="18"/>
          <w:lang w:eastAsia="ru-RU"/>
        </w:rPr>
        <w:t xml:space="preserve">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w:t>
      </w:r>
      <w:r w:rsidR="00086E91" w:rsidRPr="00661CAA">
        <w:rPr>
          <w:rFonts w:ascii="Times New Roman" w:eastAsia="Times New Roman" w:hAnsi="Times New Roman"/>
          <w:bCs/>
          <w:sz w:val="18"/>
          <w:szCs w:val="18"/>
          <w:lang w:eastAsia="ru-RU"/>
        </w:rPr>
        <w:t xml:space="preserve">Клиент </w:t>
      </w:r>
      <w:r w:rsidRPr="00661CAA">
        <w:rPr>
          <w:rFonts w:ascii="Times New Roman" w:eastAsia="Times New Roman" w:hAnsi="Times New Roman"/>
          <w:bCs/>
          <w:sz w:val="18"/>
          <w:szCs w:val="18"/>
          <w:lang w:eastAsia="ru-RU"/>
        </w:rPr>
        <w:t xml:space="preserve">должны отдавать себе отчет в том, что стоимость принадлежащих </w:t>
      </w:r>
      <w:r w:rsidR="00086E91" w:rsidRPr="00661CAA">
        <w:rPr>
          <w:rFonts w:ascii="Times New Roman" w:eastAsia="Times New Roman" w:hAnsi="Times New Roman"/>
          <w:bCs/>
          <w:sz w:val="18"/>
          <w:szCs w:val="18"/>
          <w:lang w:eastAsia="ru-RU"/>
        </w:rPr>
        <w:t>ему</w:t>
      </w:r>
      <w:r w:rsidRPr="00661CAA">
        <w:rPr>
          <w:rFonts w:ascii="Times New Roman" w:eastAsia="Times New Roman" w:hAnsi="Times New Roman"/>
          <w:bCs/>
          <w:sz w:val="18"/>
          <w:szCs w:val="18"/>
          <w:lang w:eastAsia="ru-RU"/>
        </w:rPr>
        <w:t xml:space="preserve"> финансовых инструментов может как расти, так и снижаться, и ее рост в прошлом не означает ее роста в будущем.</w:t>
      </w:r>
    </w:p>
    <w:p w:rsidR="004F132E" w:rsidRPr="00661CAA" w:rsidRDefault="004F132E" w:rsidP="004F132E">
      <w:pPr>
        <w:pStyle w:val="a3"/>
        <w:numPr>
          <w:ilvl w:val="0"/>
          <w:numId w:val="5"/>
        </w:numPr>
        <w:spacing w:after="0" w:line="240" w:lineRule="auto"/>
        <w:ind w:left="709" w:hanging="283"/>
        <w:jc w:val="both"/>
        <w:rPr>
          <w:rFonts w:ascii="Times New Roman" w:eastAsia="Times New Roman" w:hAnsi="Times New Roman"/>
          <w:bCs/>
          <w:sz w:val="18"/>
          <w:szCs w:val="18"/>
          <w:lang w:eastAsia="ru-RU"/>
        </w:rPr>
      </w:pPr>
      <w:r w:rsidRPr="00661CAA">
        <w:rPr>
          <w:rFonts w:ascii="Times New Roman" w:eastAsia="Times New Roman" w:hAnsi="Times New Roman"/>
          <w:b/>
          <w:bCs/>
          <w:i/>
          <w:sz w:val="18"/>
          <w:szCs w:val="18"/>
          <w:lang w:eastAsia="ru-RU"/>
        </w:rPr>
        <w:t>валютный риск:</w:t>
      </w:r>
      <w:r w:rsidRPr="00661CAA">
        <w:rPr>
          <w:rFonts w:ascii="Times New Roman" w:eastAsia="Times New Roman" w:hAnsi="Times New Roman"/>
          <w:bCs/>
          <w:sz w:val="18"/>
          <w:szCs w:val="18"/>
          <w:lang w:eastAsia="ru-RU"/>
        </w:rPr>
        <w:t xml:space="preserve"> проявляется в неблагоприятном изменении курса рубля по отношению к иностранной валюте, при котором</w:t>
      </w:r>
      <w:r w:rsidR="00086E91" w:rsidRPr="00661CAA">
        <w:rPr>
          <w:rFonts w:ascii="Times New Roman" w:eastAsia="Times New Roman" w:hAnsi="Times New Roman"/>
          <w:bCs/>
          <w:sz w:val="18"/>
          <w:szCs w:val="18"/>
          <w:lang w:eastAsia="ru-RU"/>
        </w:rPr>
        <w:t xml:space="preserve"> д</w:t>
      </w:r>
      <w:r w:rsidRPr="00661CAA">
        <w:rPr>
          <w:rFonts w:ascii="Times New Roman" w:eastAsia="Times New Roman" w:hAnsi="Times New Roman"/>
          <w:bCs/>
          <w:sz w:val="18"/>
          <w:szCs w:val="18"/>
          <w:lang w:eastAsia="ru-RU"/>
        </w:rPr>
        <w:t xml:space="preserve">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w:t>
      </w:r>
      <w:r w:rsidR="00086E91" w:rsidRPr="00661CAA">
        <w:rPr>
          <w:rFonts w:ascii="Times New Roman" w:eastAsia="Times New Roman" w:hAnsi="Times New Roman"/>
          <w:bCs/>
          <w:sz w:val="18"/>
          <w:szCs w:val="18"/>
          <w:lang w:eastAsia="ru-RU"/>
        </w:rPr>
        <w:t>Клиент</w:t>
      </w:r>
      <w:r w:rsidRPr="00661CAA">
        <w:rPr>
          <w:rFonts w:ascii="Times New Roman" w:eastAsia="Times New Roman" w:hAnsi="Times New Roman"/>
          <w:bCs/>
          <w:sz w:val="18"/>
          <w:szCs w:val="18"/>
          <w:lang w:eastAsia="ru-RU"/>
        </w:rPr>
        <w:t xml:space="preserve"> может</w:t>
      </w:r>
      <w:r w:rsidR="00086E91"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4F132E" w:rsidRPr="00661CAA" w:rsidRDefault="004F132E" w:rsidP="004F132E">
      <w:pPr>
        <w:pStyle w:val="a3"/>
        <w:numPr>
          <w:ilvl w:val="0"/>
          <w:numId w:val="5"/>
        </w:numPr>
        <w:spacing w:after="0" w:line="240" w:lineRule="auto"/>
        <w:ind w:left="709" w:hanging="283"/>
        <w:jc w:val="both"/>
        <w:rPr>
          <w:rFonts w:ascii="Times New Roman" w:eastAsia="Times New Roman" w:hAnsi="Times New Roman"/>
          <w:bCs/>
          <w:sz w:val="18"/>
          <w:szCs w:val="18"/>
          <w:lang w:eastAsia="ru-RU"/>
        </w:rPr>
      </w:pPr>
      <w:r w:rsidRPr="00661CAA">
        <w:rPr>
          <w:rFonts w:ascii="Times New Roman" w:eastAsia="Times New Roman" w:hAnsi="Times New Roman"/>
          <w:b/>
          <w:bCs/>
          <w:i/>
          <w:sz w:val="18"/>
          <w:szCs w:val="18"/>
          <w:lang w:eastAsia="ru-RU"/>
        </w:rPr>
        <w:t>процентный риск:</w:t>
      </w:r>
      <w:r w:rsidRPr="00661CAA">
        <w:rPr>
          <w:rFonts w:ascii="Times New Roman" w:eastAsia="Times New Roman" w:hAnsi="Times New Roman"/>
          <w:bCs/>
          <w:sz w:val="18"/>
          <w:szCs w:val="18"/>
          <w:lang w:eastAsia="ru-RU"/>
        </w:rPr>
        <w:t xml:space="preserve"> 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4F132E" w:rsidRPr="00661CAA" w:rsidRDefault="004F132E" w:rsidP="004F132E">
      <w:pPr>
        <w:pStyle w:val="a3"/>
        <w:numPr>
          <w:ilvl w:val="0"/>
          <w:numId w:val="6"/>
        </w:numPr>
        <w:spacing w:after="0" w:line="240" w:lineRule="auto"/>
        <w:ind w:left="709" w:hanging="283"/>
        <w:jc w:val="both"/>
        <w:rPr>
          <w:sz w:val="18"/>
          <w:szCs w:val="18"/>
        </w:rPr>
      </w:pPr>
      <w:r w:rsidRPr="00661CAA">
        <w:rPr>
          <w:rFonts w:ascii="Times New Roman" w:eastAsia="Times New Roman" w:hAnsi="Times New Roman"/>
          <w:b/>
          <w:bCs/>
          <w:i/>
          <w:sz w:val="18"/>
          <w:szCs w:val="18"/>
          <w:lang w:eastAsia="ru-RU"/>
        </w:rPr>
        <w:t>риск банкротства эмитента акций:</w:t>
      </w:r>
      <w:r w:rsidRPr="00661CAA">
        <w:rPr>
          <w:sz w:val="18"/>
          <w:szCs w:val="18"/>
        </w:rPr>
        <w:t xml:space="preserve"> </w:t>
      </w:r>
      <w:r w:rsidRPr="00661CAA">
        <w:rPr>
          <w:rFonts w:ascii="Times New Roman" w:eastAsia="Times New Roman" w:hAnsi="Times New Roman"/>
          <w:bCs/>
          <w:sz w:val="18"/>
          <w:szCs w:val="18"/>
          <w:lang w:eastAsia="ru-RU"/>
        </w:rPr>
        <w:t>проявляется в резком падении цены акций акционерного общества, признанного несостоятельным, или в предвидении такой несостоятельности.</w:t>
      </w:r>
    </w:p>
    <w:p w:rsidR="004F132E" w:rsidRPr="00661CAA" w:rsidRDefault="004F132E" w:rsidP="004F132E">
      <w:pPr>
        <w:spacing w:after="0" w:line="240" w:lineRule="auto"/>
        <w:ind w:firstLine="709"/>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Для того чтобы снизить рыночный риск, </w:t>
      </w:r>
      <w:r w:rsidR="00086E91" w:rsidRPr="00661CAA">
        <w:rPr>
          <w:rFonts w:ascii="Times New Roman" w:eastAsia="Times New Roman" w:hAnsi="Times New Roman"/>
          <w:bCs/>
          <w:sz w:val="18"/>
          <w:szCs w:val="18"/>
          <w:lang w:eastAsia="ru-RU"/>
        </w:rPr>
        <w:t>Клиенту</w:t>
      </w:r>
      <w:r w:rsidRPr="00661CAA">
        <w:rPr>
          <w:rFonts w:ascii="Times New Roman" w:eastAsia="Times New Roman" w:hAnsi="Times New Roman"/>
          <w:bCs/>
          <w:sz w:val="18"/>
          <w:szCs w:val="18"/>
          <w:lang w:eastAsia="ru-RU"/>
        </w:rPr>
        <w:t xml:space="preserve"> следует внимательно отнестись к выбору и диверсификации финансовых инструментов. Кроме того, внимательно ознаком</w:t>
      </w:r>
      <w:r w:rsidR="00086E91" w:rsidRPr="00661CAA">
        <w:rPr>
          <w:rFonts w:ascii="Times New Roman" w:eastAsia="Times New Roman" w:hAnsi="Times New Roman"/>
          <w:bCs/>
          <w:sz w:val="18"/>
          <w:szCs w:val="18"/>
          <w:lang w:eastAsia="ru-RU"/>
        </w:rPr>
        <w:t>иться</w:t>
      </w:r>
      <w:r w:rsidRPr="00661CAA">
        <w:rPr>
          <w:rFonts w:ascii="Times New Roman" w:eastAsia="Times New Roman" w:hAnsi="Times New Roman"/>
          <w:bCs/>
          <w:sz w:val="18"/>
          <w:szCs w:val="18"/>
          <w:lang w:eastAsia="ru-RU"/>
        </w:rPr>
        <w:t xml:space="preserve"> с условиями взаимодействия с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ом</w:t>
      </w:r>
      <w:r w:rsidR="00086E91"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для того, чтобы оценить расходы, с которыми будут связаны владение и операции с финансовыми инструментами и убедит</w:t>
      </w:r>
      <w:r w:rsidR="00086E91" w:rsidRPr="00661CAA">
        <w:rPr>
          <w:rFonts w:ascii="Times New Roman" w:eastAsia="Times New Roman" w:hAnsi="Times New Roman"/>
          <w:bCs/>
          <w:sz w:val="18"/>
          <w:szCs w:val="18"/>
          <w:lang w:eastAsia="ru-RU"/>
        </w:rPr>
        <w:t>ься</w:t>
      </w:r>
      <w:r w:rsidRPr="00661CAA">
        <w:rPr>
          <w:rFonts w:ascii="Times New Roman" w:eastAsia="Times New Roman" w:hAnsi="Times New Roman"/>
          <w:bCs/>
          <w:sz w:val="18"/>
          <w:szCs w:val="18"/>
          <w:lang w:eastAsia="ru-RU"/>
        </w:rPr>
        <w:t xml:space="preserve">, в том, что они приемлемы и не лишают </w:t>
      </w:r>
      <w:r w:rsidR="00086E91" w:rsidRPr="00661CAA">
        <w:rPr>
          <w:rFonts w:ascii="Times New Roman" w:eastAsia="Times New Roman" w:hAnsi="Times New Roman"/>
          <w:bCs/>
          <w:sz w:val="18"/>
          <w:szCs w:val="18"/>
          <w:lang w:eastAsia="ru-RU"/>
        </w:rPr>
        <w:t>его</w:t>
      </w:r>
      <w:r w:rsidRPr="00661CAA">
        <w:rPr>
          <w:rFonts w:ascii="Times New Roman" w:eastAsia="Times New Roman" w:hAnsi="Times New Roman"/>
          <w:bCs/>
          <w:sz w:val="18"/>
          <w:szCs w:val="18"/>
          <w:lang w:eastAsia="ru-RU"/>
        </w:rPr>
        <w:t xml:space="preserve"> ожидаемого дохода.</w:t>
      </w:r>
    </w:p>
    <w:p w:rsidR="00530940" w:rsidRPr="00661CAA" w:rsidRDefault="00530940" w:rsidP="00530940">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Экономический риск</w:t>
      </w:r>
      <w:r w:rsidRPr="00661CAA">
        <w:rPr>
          <w:rFonts w:ascii="Times New Roman" w:eastAsia="Times New Roman" w:hAnsi="Times New Roman"/>
          <w:bCs/>
          <w:sz w:val="18"/>
          <w:szCs w:val="18"/>
          <w:lang w:eastAsia="ru-RU"/>
        </w:rPr>
        <w:t xml:space="preserve"> - риск финансовых потерь со стороны </w:t>
      </w:r>
      <w:r w:rsidR="00DF4588"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rsidR="00530940" w:rsidRPr="00661CAA" w:rsidRDefault="00446ED3" w:rsidP="00446ED3">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Правовой риск</w:t>
      </w:r>
      <w:r w:rsidR="00530940" w:rsidRPr="00661CAA">
        <w:rPr>
          <w:rFonts w:ascii="Times New Roman" w:eastAsia="Times New Roman" w:hAnsi="Times New Roman"/>
          <w:bCs/>
          <w:sz w:val="18"/>
          <w:szCs w:val="18"/>
          <w:lang w:eastAsia="ru-RU"/>
        </w:rPr>
        <w:t xml:space="preserve"> -</w:t>
      </w:r>
      <w:r w:rsidR="004F132E"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val="en-US" w:eastAsia="ru-RU"/>
        </w:rPr>
        <w:t>c</w:t>
      </w:r>
      <w:r w:rsidRPr="00661CAA">
        <w:rPr>
          <w:rFonts w:ascii="Times New Roman" w:eastAsia="Times New Roman" w:hAnsi="Times New Roman"/>
          <w:bCs/>
          <w:sz w:val="18"/>
          <w:szCs w:val="18"/>
          <w:lang w:eastAsia="ru-RU"/>
        </w:rPr>
        <w:t>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 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530940" w:rsidRPr="00661CAA" w:rsidRDefault="00530940" w:rsidP="00530940">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налогового законодательства</w:t>
      </w:r>
      <w:r w:rsidRPr="00661CAA">
        <w:rPr>
          <w:rFonts w:ascii="Times New Roman" w:eastAsia="Times New Roman" w:hAnsi="Times New Roman"/>
          <w:bCs/>
          <w:sz w:val="18"/>
          <w:szCs w:val="18"/>
          <w:lang w:eastAsia="ru-RU"/>
        </w:rPr>
        <w:t xml:space="preserve"> - риск финансовых потерь со стороны </w:t>
      </w:r>
      <w:r w:rsidR="00DF4588"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rsidR="00530940" w:rsidRPr="00661CAA" w:rsidRDefault="00530940" w:rsidP="00530940">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Клиент, являющийся нерезидентом РФ,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rsidR="00530940" w:rsidRPr="00661CAA" w:rsidRDefault="00530940" w:rsidP="00530940">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репатриации денежных средств</w:t>
      </w:r>
      <w:r w:rsidRPr="00661CAA">
        <w:rPr>
          <w:rFonts w:ascii="Times New Roman" w:eastAsia="Times New Roman" w:hAnsi="Times New Roman"/>
          <w:bCs/>
          <w:sz w:val="18"/>
          <w:szCs w:val="18"/>
          <w:lang w:eastAsia="ru-RU"/>
        </w:rPr>
        <w:t xml:space="preserve"> - риск финансовых потерь со стороны </w:t>
      </w:r>
      <w:r w:rsidR="00DF4588"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xml:space="preserve">, связанный с репатриацией денежных средств </w:t>
      </w:r>
      <w:r w:rsidR="00DF4588"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w:t>
      </w:r>
    </w:p>
    <w:p w:rsidR="00530940" w:rsidRPr="00661CAA" w:rsidRDefault="00530940" w:rsidP="00530940">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w:t>
      </w:r>
      <w:r w:rsidR="00FB40CD" w:rsidRPr="00661CAA">
        <w:rPr>
          <w:rFonts w:ascii="Times New Roman" w:eastAsia="Times New Roman" w:hAnsi="Times New Roman"/>
          <w:bCs/>
          <w:sz w:val="18"/>
          <w:szCs w:val="18"/>
          <w:lang w:eastAsia="ru-RU"/>
        </w:rPr>
        <w:t>а</w:t>
      </w:r>
      <w:r w:rsidRPr="00661CAA">
        <w:rPr>
          <w:rFonts w:ascii="Times New Roman" w:eastAsia="Times New Roman" w:hAnsi="Times New Roman"/>
          <w:bCs/>
          <w:sz w:val="18"/>
          <w:szCs w:val="18"/>
          <w:lang w:eastAsia="ru-RU"/>
        </w:rPr>
        <w:t>, на которых эти ограничения или запреты будут распространяться.</w:t>
      </w:r>
    </w:p>
    <w:p w:rsidR="00530940" w:rsidRPr="00661CAA" w:rsidRDefault="00530940" w:rsidP="00530940">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инфраструктуры финансовых рынков</w:t>
      </w:r>
      <w:r w:rsidRPr="00661CAA">
        <w:rPr>
          <w:rFonts w:ascii="Times New Roman" w:eastAsia="Times New Roman" w:hAnsi="Times New Roman"/>
          <w:bCs/>
          <w:sz w:val="18"/>
          <w:szCs w:val="18"/>
          <w:lang w:eastAsia="ru-RU"/>
        </w:rPr>
        <w:t xml:space="preserve"> - риск финансовых потерь со стороны Клиента, связанный с недостаточно высоким уровнем развития инфраструктуры финансовых рынков.</w:t>
      </w:r>
    </w:p>
    <w:p w:rsidR="006C591C" w:rsidRPr="00661CAA" w:rsidRDefault="00530940" w:rsidP="006C591C">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w:t>
      </w:r>
      <w:r w:rsidR="006C591C" w:rsidRPr="00661CAA">
        <w:rPr>
          <w:rFonts w:ascii="Times New Roman" w:eastAsia="Times New Roman" w:hAnsi="Times New Roman"/>
          <w:bCs/>
          <w:sz w:val="18"/>
          <w:szCs w:val="18"/>
          <w:lang w:eastAsia="ru-RU"/>
        </w:rPr>
        <w:t xml:space="preserve">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rsidR="006C591C" w:rsidRPr="00661CAA" w:rsidRDefault="006C591C" w:rsidP="006C591C">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банковской системы</w:t>
      </w:r>
      <w:r w:rsidRPr="00661CAA">
        <w:rPr>
          <w:rFonts w:ascii="Times New Roman" w:eastAsia="Times New Roman" w:hAnsi="Times New Roman"/>
          <w:bCs/>
          <w:sz w:val="18"/>
          <w:szCs w:val="18"/>
          <w:lang w:eastAsia="ru-RU"/>
        </w:rPr>
        <w:t xml:space="preserve"> - риск финансовых потерь со стороны </w:t>
      </w:r>
      <w:r w:rsidR="00DF4588"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xml:space="preserve">, связанный с несвоевременным исполнением и/или неисполнением платежей по операциям </w:t>
      </w:r>
      <w:r w:rsidR="00DF4588"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w:t>
      </w:r>
    </w:p>
    <w:p w:rsidR="006C591C" w:rsidRPr="00661CAA" w:rsidRDefault="006C591C" w:rsidP="006C591C">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Расчеты Сторон между собой, а также с другими субъектами правоотношений, возникающие в рамках исполнения положений Соглашения осуществляются через Расчетную Палату ТС, обслуживающие </w:t>
      </w:r>
      <w:r w:rsidR="00DF4588"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 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rsidR="006C591C" w:rsidRPr="00661CAA" w:rsidRDefault="006C591C" w:rsidP="006C591C">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использования информации на финансовых рынках</w:t>
      </w:r>
      <w:r w:rsidRPr="00661CAA">
        <w:rPr>
          <w:rFonts w:ascii="Times New Roman" w:eastAsia="Times New Roman" w:hAnsi="Times New Roman"/>
          <w:bCs/>
          <w:sz w:val="18"/>
          <w:szCs w:val="18"/>
          <w:lang w:eastAsia="ru-RU"/>
        </w:rPr>
        <w:t xml:space="preserve"> - риск финансовых потерь со стороны </w:t>
      </w:r>
      <w:r w:rsidR="00FB40CD"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связанный с использованием корпоративной информации на финансовых рынках.</w:t>
      </w:r>
    </w:p>
    <w:p w:rsidR="006C591C" w:rsidRPr="00661CAA" w:rsidRDefault="006C591C" w:rsidP="006C591C">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Информация, используемая </w:t>
      </w:r>
      <w:r w:rsidR="00A702FD" w:rsidRPr="00661CAA">
        <w:rPr>
          <w:rFonts w:ascii="Times New Roman" w:eastAsia="Times New Roman" w:hAnsi="Times New Roman"/>
          <w:bCs/>
          <w:sz w:val="18"/>
          <w:szCs w:val="18"/>
          <w:lang w:eastAsia="ru-RU"/>
        </w:rPr>
        <w:t>Банком</w:t>
      </w:r>
      <w:r w:rsidRPr="00661CAA">
        <w:rPr>
          <w:rFonts w:ascii="Times New Roman" w:eastAsia="Times New Roman" w:hAnsi="Times New Roman"/>
          <w:bCs/>
          <w:sz w:val="18"/>
          <w:szCs w:val="18"/>
          <w:lang w:eastAsia="ru-RU"/>
        </w:rPr>
        <w:t xml:space="preserve"> при оказании услуг Клиентам, поступает из заслуживающих доверия источников, однако </w:t>
      </w:r>
      <w:r w:rsidR="00DF4588"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rsidR="006C591C" w:rsidRPr="00661CAA" w:rsidRDefault="006C591C" w:rsidP="006C591C">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Для Клиентов </w:t>
      </w:r>
      <w:r w:rsidR="00DF4588" w:rsidRPr="00661CAA">
        <w:rPr>
          <w:rFonts w:ascii="Times New Roman" w:eastAsia="Times New Roman" w:hAnsi="Times New Roman"/>
          <w:bCs/>
          <w:sz w:val="18"/>
          <w:szCs w:val="18"/>
          <w:lang w:eastAsia="ru-RU"/>
        </w:rPr>
        <w:t>Банка</w:t>
      </w:r>
      <w:r w:rsidRPr="00661CAA">
        <w:rPr>
          <w:rFonts w:ascii="Times New Roman" w:eastAsia="Times New Roman" w:hAnsi="Times New Roman"/>
          <w:bCs/>
          <w:sz w:val="18"/>
          <w:szCs w:val="18"/>
          <w:lang w:eastAsia="ru-RU"/>
        </w:rPr>
        <w:t>,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rsidR="00530940" w:rsidRPr="00661CAA" w:rsidRDefault="006C591C" w:rsidP="006C591C">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rsidR="006C591C" w:rsidRPr="00661CAA" w:rsidRDefault="006C591C" w:rsidP="006C591C">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инвестиционных ограничений</w:t>
      </w:r>
      <w:r w:rsidRPr="00661CAA">
        <w:rPr>
          <w:rFonts w:ascii="Times New Roman" w:eastAsia="Times New Roman" w:hAnsi="Times New Roman"/>
          <w:bCs/>
          <w:sz w:val="18"/>
          <w:szCs w:val="18"/>
          <w:lang w:eastAsia="ru-RU"/>
        </w:rPr>
        <w:t xml:space="preserve"> - риск финансовых потерь со стороны </w:t>
      </w:r>
      <w:r w:rsidR="00FB40CD"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связанный с ограничениями в обращении ценных бумаг.</w:t>
      </w:r>
    </w:p>
    <w:p w:rsidR="00530940" w:rsidRPr="00661CAA" w:rsidRDefault="006C591C" w:rsidP="006C591C">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Федеральной комиссии по рынку ценных бумаг для заключения каждой сделки по приобретению иностранными инвесторами акций таких эмитентов.</w:t>
      </w:r>
    </w:p>
    <w:p w:rsidR="00854192" w:rsidRPr="00661CAA" w:rsidRDefault="00854192" w:rsidP="00854192">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Клиенту необходимо в своих действиях учитывать возможность существования таких ограничений, а </w:t>
      </w:r>
      <w:r w:rsidR="00DF4588"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rsidR="00854192" w:rsidRPr="00661CAA" w:rsidRDefault="00854192" w:rsidP="00854192">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миноритарного Клиента</w:t>
      </w:r>
      <w:r w:rsidRPr="00661CAA">
        <w:rPr>
          <w:rFonts w:ascii="Times New Roman" w:eastAsia="Times New Roman" w:hAnsi="Times New Roman"/>
          <w:bCs/>
          <w:sz w:val="18"/>
          <w:szCs w:val="18"/>
          <w:lang w:eastAsia="ru-RU"/>
        </w:rPr>
        <w:t xml:space="preserve"> -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rsidR="00854192" w:rsidRPr="00661CAA" w:rsidRDefault="00854192" w:rsidP="00854192">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rsidR="004F132E" w:rsidRPr="00661CAA" w:rsidRDefault="00854192" w:rsidP="004F132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ликвидности</w:t>
      </w:r>
      <w:r w:rsidRPr="00661CAA">
        <w:rPr>
          <w:rFonts w:ascii="Times New Roman" w:eastAsia="Times New Roman" w:hAnsi="Times New Roman"/>
          <w:bCs/>
          <w:sz w:val="18"/>
          <w:szCs w:val="18"/>
          <w:lang w:eastAsia="ru-RU"/>
        </w:rPr>
        <w:t xml:space="preserve"> - </w:t>
      </w:r>
      <w:r w:rsidR="004F132E" w:rsidRPr="00661CAA">
        <w:rPr>
          <w:rFonts w:ascii="Times New Roman" w:eastAsia="Times New Roman" w:hAnsi="Times New Roman"/>
          <w:bCs/>
          <w:sz w:val="18"/>
          <w:szCs w:val="18"/>
          <w:lang w:eastAsia="ru-RU"/>
        </w:rPr>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EF7C55" w:rsidRPr="00661CAA" w:rsidRDefault="00854192" w:rsidP="00EF7C55">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Операционный риск</w:t>
      </w:r>
      <w:r w:rsidRPr="00661CAA">
        <w:rPr>
          <w:rFonts w:ascii="Times New Roman" w:eastAsia="Times New Roman" w:hAnsi="Times New Roman"/>
          <w:bCs/>
          <w:sz w:val="18"/>
          <w:szCs w:val="18"/>
          <w:lang w:eastAsia="ru-RU"/>
        </w:rPr>
        <w:t xml:space="preserve"> - </w:t>
      </w:r>
      <w:r w:rsidR="00EF7C55" w:rsidRPr="00661CAA">
        <w:rPr>
          <w:rFonts w:ascii="Times New Roman" w:eastAsia="Times New Roman" w:hAnsi="Times New Roman"/>
          <w:bCs/>
          <w:sz w:val="18"/>
          <w:szCs w:val="18"/>
          <w:lang w:eastAsia="ru-RU"/>
        </w:rPr>
        <w:t xml:space="preserve">заключается в возможности причинения Клиенту убытков в результате нарушения внутренних процедур </w:t>
      </w:r>
      <w:r w:rsidR="00083099" w:rsidRPr="00661CAA">
        <w:rPr>
          <w:rFonts w:ascii="Times New Roman" w:eastAsia="Times New Roman" w:hAnsi="Times New Roman"/>
          <w:bCs/>
          <w:sz w:val="18"/>
          <w:szCs w:val="18"/>
          <w:lang w:eastAsia="ru-RU"/>
        </w:rPr>
        <w:t>Банк</w:t>
      </w:r>
      <w:r w:rsidR="00EF7C55" w:rsidRPr="00661CAA">
        <w:rPr>
          <w:rFonts w:ascii="Times New Roman" w:eastAsia="Times New Roman" w:hAnsi="Times New Roman"/>
          <w:bCs/>
          <w:sz w:val="18"/>
          <w:szCs w:val="18"/>
          <w:lang w:eastAsia="ru-RU"/>
        </w:rPr>
        <w:t xml:space="preserve">а, ошибок и недобросовестных действий его сотрудников, сбоев в работе технических средств </w:t>
      </w:r>
      <w:r w:rsidR="00083099" w:rsidRPr="00661CAA">
        <w:rPr>
          <w:rFonts w:ascii="Times New Roman" w:eastAsia="Times New Roman" w:hAnsi="Times New Roman"/>
          <w:bCs/>
          <w:sz w:val="18"/>
          <w:szCs w:val="18"/>
          <w:lang w:eastAsia="ru-RU"/>
        </w:rPr>
        <w:t>Банк</w:t>
      </w:r>
      <w:r w:rsidR="00EF7C55" w:rsidRPr="00661CAA">
        <w:rPr>
          <w:rFonts w:ascii="Times New Roman" w:eastAsia="Times New Roman" w:hAnsi="Times New Roman"/>
          <w:bCs/>
          <w:sz w:val="18"/>
          <w:szCs w:val="18"/>
          <w:lang w:eastAsia="ru-RU"/>
        </w:rPr>
        <w:t>а,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rsidR="00EF7C55" w:rsidRPr="00661CAA" w:rsidRDefault="00EF7C55" w:rsidP="00EF7C55">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Клиенту необходимо внимательно ознакомиться с договором для того, чтобы оценить, какие из рисков, в том числе риски каких технических сбоев, несет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а какие из рисков несет сам Клиент.</w:t>
      </w:r>
    </w:p>
    <w:p w:rsidR="00EF7C55" w:rsidRPr="00661CAA" w:rsidRDefault="00EF7C55" w:rsidP="001454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sz w:val="18"/>
          <w:szCs w:val="18"/>
        </w:rPr>
        <w:t xml:space="preserve">  </w:t>
      </w:r>
      <w:r w:rsidRPr="00661CAA">
        <w:rPr>
          <w:rFonts w:ascii="Times New Roman" w:eastAsia="Times New Roman" w:hAnsi="Times New Roman"/>
          <w:b/>
          <w:bCs/>
          <w:sz w:val="18"/>
          <w:szCs w:val="18"/>
          <w:lang w:eastAsia="ru-RU"/>
        </w:rPr>
        <w:t xml:space="preserve">Риски, связанные с индивидуальными инвестиционными счетами: </w:t>
      </w:r>
      <w:r w:rsidRPr="00661CAA">
        <w:rPr>
          <w:rFonts w:ascii="Times New Roman" w:eastAsia="Times New Roman" w:hAnsi="Times New Roman"/>
          <w:bCs/>
          <w:sz w:val="18"/>
          <w:szCs w:val="18"/>
          <w:lang w:eastAsia="ru-RU"/>
        </w:rPr>
        <w:t xml:space="preserve">заключаемый Клиентом договор связан с ведением индивидуального инвестиционного счета, который позволяет получить инвестиционный налоговый вычет. Все риски, которые упомянуты в настоящей Декларации,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 </w:t>
      </w:r>
    </w:p>
    <w:p w:rsidR="00EF7C55" w:rsidRPr="00661CAA" w:rsidRDefault="00EF6920" w:rsidP="001454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Для индивидуальных инвестиционных счетов, договор</w:t>
      </w:r>
      <w:r w:rsidR="005E375E" w:rsidRPr="00661CAA">
        <w:rPr>
          <w:rFonts w:ascii="Times New Roman" w:eastAsia="Times New Roman" w:hAnsi="Times New Roman"/>
          <w:bCs/>
          <w:sz w:val="18"/>
          <w:szCs w:val="18"/>
          <w:lang w:eastAsia="ru-RU"/>
        </w:rPr>
        <w:t>ы</w:t>
      </w:r>
      <w:r w:rsidRPr="00661CAA">
        <w:rPr>
          <w:rFonts w:ascii="Times New Roman" w:eastAsia="Times New Roman" w:hAnsi="Times New Roman"/>
          <w:bCs/>
          <w:sz w:val="18"/>
          <w:szCs w:val="18"/>
          <w:lang w:eastAsia="ru-RU"/>
        </w:rPr>
        <w:t xml:space="preserve"> на ведение которых заключены в период 01.01.2015 г. по 31.12.2023 г. включительно, с</w:t>
      </w:r>
      <w:r w:rsidR="00EF7C55" w:rsidRPr="00661CAA">
        <w:rPr>
          <w:rFonts w:ascii="Times New Roman" w:eastAsia="Times New Roman" w:hAnsi="Times New Roman"/>
          <w:bCs/>
          <w:sz w:val="18"/>
          <w:szCs w:val="18"/>
          <w:lang w:eastAsia="ru-RU"/>
        </w:rPr>
        <w:t xml:space="preserve">уществует два варианта инвестиционных налоговых вычетов: </w:t>
      </w:r>
    </w:p>
    <w:p w:rsidR="00EF7C55" w:rsidRPr="00661CAA" w:rsidRDefault="00EF7C55" w:rsidP="001454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1) «на взнос», по которому Клиент может ежегодно обращаться за возвратом уплаченного подоходного налога на сумму сделанного им взноса, но должен будет уплатить подоходный налог на доход, исчисленный при закрытии индивидуального инвестиционного счета;</w:t>
      </w:r>
    </w:p>
    <w:p w:rsidR="00EF7C55" w:rsidRPr="00661CAA" w:rsidRDefault="00EF7C55" w:rsidP="001454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2) «на изъятие средств со счета», по которому Клиент не сможет получать ежегодный возврат налога, но будет освобожден от уплаты подоходного налога при изъятии средств с индивидуального инвестиционного счета. </w:t>
      </w:r>
    </w:p>
    <w:p w:rsidR="00EF7C55" w:rsidRPr="00661CAA" w:rsidRDefault="00EF7C55" w:rsidP="001454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Клиент должен обратить внимание на то, что он сможет воспользоваться только одним из вариантов инвестиционного налогового вычета, это значит, что если </w:t>
      </w:r>
      <w:r w:rsidR="00442B51" w:rsidRPr="00661CAA">
        <w:rPr>
          <w:rFonts w:ascii="Times New Roman" w:eastAsia="Times New Roman" w:hAnsi="Times New Roman"/>
          <w:bCs/>
          <w:sz w:val="18"/>
          <w:szCs w:val="18"/>
          <w:lang w:eastAsia="ru-RU"/>
        </w:rPr>
        <w:t xml:space="preserve">он </w:t>
      </w:r>
      <w:r w:rsidRPr="00661CAA">
        <w:rPr>
          <w:rFonts w:ascii="Times New Roman" w:eastAsia="Times New Roman" w:hAnsi="Times New Roman"/>
          <w:bCs/>
          <w:sz w:val="18"/>
          <w:szCs w:val="18"/>
          <w:lang w:eastAsia="ru-RU"/>
        </w:rPr>
        <w:t>хотя бы однажды воспользуетс</w:t>
      </w:r>
      <w:r w:rsidR="00442B51" w:rsidRPr="00661CAA">
        <w:rPr>
          <w:rFonts w:ascii="Times New Roman" w:eastAsia="Times New Roman" w:hAnsi="Times New Roman"/>
          <w:bCs/>
          <w:sz w:val="18"/>
          <w:szCs w:val="18"/>
          <w:lang w:eastAsia="ru-RU"/>
        </w:rPr>
        <w:t>я</w:t>
      </w:r>
      <w:r w:rsidRPr="00661CAA">
        <w:rPr>
          <w:rFonts w:ascii="Times New Roman" w:eastAsia="Times New Roman" w:hAnsi="Times New Roman"/>
          <w:bCs/>
          <w:sz w:val="18"/>
          <w:szCs w:val="18"/>
          <w:lang w:eastAsia="ru-RU"/>
        </w:rPr>
        <w:t xml:space="preserve"> инвестиционным вычетом «на взнос», то не сможет воспользоваться инвестиционным вычетом «на изъятие средств», что может лишить </w:t>
      </w:r>
      <w:r w:rsidR="00442B51" w:rsidRPr="00661CAA">
        <w:rPr>
          <w:rFonts w:ascii="Times New Roman" w:eastAsia="Times New Roman" w:hAnsi="Times New Roman"/>
          <w:bCs/>
          <w:sz w:val="18"/>
          <w:szCs w:val="18"/>
          <w:lang w:eastAsia="ru-RU"/>
        </w:rPr>
        <w:t>его</w:t>
      </w:r>
      <w:r w:rsidRPr="00661CAA">
        <w:rPr>
          <w:rFonts w:ascii="Times New Roman" w:eastAsia="Times New Roman" w:hAnsi="Times New Roman"/>
          <w:bCs/>
          <w:sz w:val="18"/>
          <w:szCs w:val="18"/>
          <w:lang w:eastAsia="ru-RU"/>
        </w:rPr>
        <w:t xml:space="preserve"> всех преимуществ этого варианта. </w:t>
      </w:r>
      <w:r w:rsidR="00442B51" w:rsidRPr="00661CAA">
        <w:rPr>
          <w:rFonts w:ascii="Times New Roman" w:eastAsia="Times New Roman" w:hAnsi="Times New Roman"/>
          <w:bCs/>
          <w:sz w:val="18"/>
          <w:szCs w:val="18"/>
          <w:lang w:eastAsia="ru-RU"/>
        </w:rPr>
        <w:t>Клиенту необходимо о</w:t>
      </w:r>
      <w:r w:rsidRPr="00661CAA">
        <w:rPr>
          <w:rFonts w:ascii="Times New Roman" w:eastAsia="Times New Roman" w:hAnsi="Times New Roman"/>
          <w:bCs/>
          <w:sz w:val="18"/>
          <w:szCs w:val="18"/>
          <w:lang w:eastAsia="ru-RU"/>
        </w:rPr>
        <w:t>пределит</w:t>
      </w:r>
      <w:r w:rsidR="00442B51" w:rsidRPr="00661CAA">
        <w:rPr>
          <w:rFonts w:ascii="Times New Roman" w:eastAsia="Times New Roman" w:hAnsi="Times New Roman"/>
          <w:bCs/>
          <w:sz w:val="18"/>
          <w:szCs w:val="18"/>
          <w:lang w:eastAsia="ru-RU"/>
        </w:rPr>
        <w:t>ь</w:t>
      </w:r>
      <w:r w:rsidRPr="00661CAA">
        <w:rPr>
          <w:rFonts w:ascii="Times New Roman" w:eastAsia="Times New Roman" w:hAnsi="Times New Roman"/>
          <w:bCs/>
          <w:sz w:val="18"/>
          <w:szCs w:val="18"/>
          <w:lang w:eastAsia="ru-RU"/>
        </w:rPr>
        <w:t xml:space="preserve"> предпочтительный для </w:t>
      </w:r>
      <w:r w:rsidR="00442B51" w:rsidRPr="00661CAA">
        <w:rPr>
          <w:rFonts w:ascii="Times New Roman" w:eastAsia="Times New Roman" w:hAnsi="Times New Roman"/>
          <w:bCs/>
          <w:sz w:val="18"/>
          <w:szCs w:val="18"/>
          <w:lang w:eastAsia="ru-RU"/>
        </w:rPr>
        <w:t>себя</w:t>
      </w:r>
      <w:r w:rsidRPr="00661CAA">
        <w:rPr>
          <w:rFonts w:ascii="Times New Roman" w:eastAsia="Times New Roman" w:hAnsi="Times New Roman"/>
          <w:bCs/>
          <w:sz w:val="18"/>
          <w:szCs w:val="18"/>
          <w:lang w:eastAsia="ru-RU"/>
        </w:rPr>
        <w:t xml:space="preserve"> вариант, обсудит</w:t>
      </w:r>
      <w:r w:rsidR="00442B51" w:rsidRPr="00661CAA">
        <w:rPr>
          <w:rFonts w:ascii="Times New Roman" w:eastAsia="Times New Roman" w:hAnsi="Times New Roman"/>
          <w:bCs/>
          <w:sz w:val="18"/>
          <w:szCs w:val="18"/>
          <w:lang w:eastAsia="ru-RU"/>
        </w:rPr>
        <w:t>ь</w:t>
      </w:r>
      <w:r w:rsidRPr="00661CAA">
        <w:rPr>
          <w:rFonts w:ascii="Times New Roman" w:eastAsia="Times New Roman" w:hAnsi="Times New Roman"/>
          <w:bCs/>
          <w:sz w:val="18"/>
          <w:szCs w:val="18"/>
          <w:lang w:eastAsia="ru-RU"/>
        </w:rPr>
        <w:t xml:space="preserve"> достоинства и недостатки каждого варианта с брокером</w:t>
      </w:r>
      <w:r w:rsidR="0016277A" w:rsidRPr="00661CAA">
        <w:rPr>
          <w:rFonts w:ascii="Times New Roman" w:eastAsia="Times New Roman" w:hAnsi="Times New Roman"/>
          <w:bCs/>
          <w:sz w:val="18"/>
          <w:szCs w:val="18"/>
          <w:lang w:eastAsia="ru-RU"/>
        </w:rPr>
        <w:t>,</w:t>
      </w:r>
      <w:r w:rsidR="00442B51"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специализирующимся на соответствующих консультациях.</w:t>
      </w:r>
    </w:p>
    <w:p w:rsidR="007C4263" w:rsidRPr="00661CAA" w:rsidRDefault="007C4263" w:rsidP="007C4263">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Заключение Клиентом Договора ИИС после 01.01.2024 г. возможно при условии, что на дату заключения Договора ИИС у Клиента нет действующего договора на ведение индивидуального инвестиционного счета, заключенного в период 01.01.2015 г. по 31.12.2023 г. включительно</w:t>
      </w:r>
      <w:r w:rsidR="005E375E" w:rsidRPr="00661CAA">
        <w:rPr>
          <w:rFonts w:ascii="Times New Roman" w:eastAsia="Times New Roman" w:hAnsi="Times New Roman"/>
          <w:bCs/>
          <w:sz w:val="18"/>
          <w:szCs w:val="18"/>
          <w:lang w:eastAsia="ru-RU"/>
        </w:rPr>
        <w:t>, а также заключенных действующих договоров на ведение индивидуальных инвестиционных счетов после</w:t>
      </w:r>
      <w:r w:rsidRPr="00661CAA">
        <w:rPr>
          <w:rFonts w:ascii="Times New Roman" w:eastAsia="Times New Roman" w:hAnsi="Times New Roman"/>
          <w:bCs/>
          <w:sz w:val="18"/>
          <w:szCs w:val="18"/>
          <w:lang w:eastAsia="ru-RU"/>
        </w:rPr>
        <w:t xml:space="preserve"> </w:t>
      </w:r>
      <w:r w:rsidR="002421ED" w:rsidRPr="00661CAA">
        <w:rPr>
          <w:rFonts w:ascii="Times New Roman" w:eastAsia="Times New Roman" w:hAnsi="Times New Roman"/>
          <w:bCs/>
          <w:sz w:val="18"/>
          <w:szCs w:val="18"/>
          <w:lang w:eastAsia="ru-RU"/>
        </w:rPr>
        <w:t xml:space="preserve">01.01.2024 г. не превышает 2 (Двух), за исключением случаев, предусмотренных федеральным законом. </w:t>
      </w:r>
    </w:p>
    <w:p w:rsidR="00EF7C55" w:rsidRPr="00661CAA" w:rsidRDefault="00442B51" w:rsidP="001454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Клиенту</w:t>
      </w:r>
      <w:r w:rsidR="00EF7C55" w:rsidRPr="00661CAA">
        <w:rPr>
          <w:rFonts w:ascii="Times New Roman" w:eastAsia="Times New Roman" w:hAnsi="Times New Roman"/>
          <w:bCs/>
          <w:sz w:val="18"/>
          <w:szCs w:val="18"/>
          <w:lang w:eastAsia="ru-RU"/>
        </w:rPr>
        <w:t xml:space="preserve"> следует иметь в виду также то, что если </w:t>
      </w:r>
      <w:r w:rsidRPr="00661CAA">
        <w:rPr>
          <w:rFonts w:ascii="Times New Roman" w:eastAsia="Times New Roman" w:hAnsi="Times New Roman"/>
          <w:bCs/>
          <w:sz w:val="18"/>
          <w:szCs w:val="18"/>
          <w:lang w:eastAsia="ru-RU"/>
        </w:rPr>
        <w:t>он</w:t>
      </w:r>
      <w:r w:rsidR="00EF7C55" w:rsidRPr="00661CAA">
        <w:rPr>
          <w:rFonts w:ascii="Times New Roman" w:eastAsia="Times New Roman" w:hAnsi="Times New Roman"/>
          <w:bCs/>
          <w:sz w:val="18"/>
          <w:szCs w:val="18"/>
          <w:lang w:eastAsia="ru-RU"/>
        </w:rPr>
        <w:t xml:space="preserve"> прекратит </w:t>
      </w:r>
      <w:r w:rsidRPr="00661CAA">
        <w:rPr>
          <w:rFonts w:ascii="Times New Roman" w:eastAsia="Times New Roman" w:hAnsi="Times New Roman"/>
          <w:bCs/>
          <w:sz w:val="18"/>
          <w:szCs w:val="18"/>
          <w:lang w:eastAsia="ru-RU"/>
        </w:rPr>
        <w:t>свой</w:t>
      </w:r>
      <w:r w:rsidR="00EF7C55" w:rsidRPr="00661CAA">
        <w:rPr>
          <w:rFonts w:ascii="Times New Roman" w:eastAsia="Times New Roman" w:hAnsi="Times New Roman"/>
          <w:bCs/>
          <w:sz w:val="18"/>
          <w:szCs w:val="18"/>
          <w:lang w:eastAsia="ru-RU"/>
        </w:rPr>
        <w:t xml:space="preserve"> </w:t>
      </w:r>
      <w:r w:rsidR="002421ED" w:rsidRPr="00661CAA">
        <w:rPr>
          <w:rFonts w:ascii="Times New Roman" w:eastAsia="Times New Roman" w:hAnsi="Times New Roman"/>
          <w:bCs/>
          <w:sz w:val="18"/>
          <w:szCs w:val="18"/>
          <w:lang w:eastAsia="ru-RU"/>
        </w:rPr>
        <w:t>Д</w:t>
      </w:r>
      <w:r w:rsidR="00EF7C55" w:rsidRPr="00661CAA">
        <w:rPr>
          <w:rFonts w:ascii="Times New Roman" w:eastAsia="Times New Roman" w:hAnsi="Times New Roman"/>
          <w:bCs/>
          <w:sz w:val="18"/>
          <w:szCs w:val="18"/>
          <w:lang w:eastAsia="ru-RU"/>
        </w:rPr>
        <w:t xml:space="preserve">оговор </w:t>
      </w:r>
      <w:r w:rsidR="007C4263" w:rsidRPr="00661CAA">
        <w:rPr>
          <w:rFonts w:ascii="Times New Roman" w:eastAsia="Times New Roman" w:hAnsi="Times New Roman"/>
          <w:bCs/>
          <w:sz w:val="18"/>
          <w:szCs w:val="18"/>
          <w:lang w:eastAsia="ru-RU"/>
        </w:rPr>
        <w:t xml:space="preserve">ИИС </w:t>
      </w:r>
      <w:r w:rsidR="00EF7C55" w:rsidRPr="00661CAA">
        <w:rPr>
          <w:rFonts w:ascii="Times New Roman" w:eastAsia="Times New Roman" w:hAnsi="Times New Roman"/>
          <w:bCs/>
          <w:sz w:val="18"/>
          <w:szCs w:val="18"/>
          <w:lang w:eastAsia="ru-RU"/>
        </w:rPr>
        <w:t xml:space="preserve">ранее </w:t>
      </w:r>
      <w:r w:rsidR="004503FE" w:rsidRPr="00661CAA">
        <w:rPr>
          <w:rFonts w:ascii="Times New Roman" w:eastAsia="Times New Roman" w:hAnsi="Times New Roman"/>
          <w:bCs/>
          <w:sz w:val="18"/>
          <w:szCs w:val="18"/>
          <w:lang w:eastAsia="ru-RU"/>
        </w:rPr>
        <w:t>сроков, установленных налоговым законодательством Российской Федерации</w:t>
      </w:r>
      <w:r w:rsidR="00EF7C55" w:rsidRPr="00661CAA">
        <w:rPr>
          <w:rFonts w:ascii="Times New Roman" w:eastAsia="Times New Roman" w:hAnsi="Times New Roman"/>
          <w:bCs/>
          <w:sz w:val="18"/>
          <w:szCs w:val="18"/>
          <w:lang w:eastAsia="ru-RU"/>
        </w:rPr>
        <w:t xml:space="preserve">, то </w:t>
      </w:r>
      <w:r w:rsidR="007C4263" w:rsidRPr="00661CAA">
        <w:rPr>
          <w:rFonts w:ascii="Times New Roman" w:eastAsia="Times New Roman" w:hAnsi="Times New Roman"/>
          <w:bCs/>
          <w:sz w:val="18"/>
          <w:szCs w:val="18"/>
          <w:lang w:eastAsia="ru-RU"/>
        </w:rPr>
        <w:t>Клиент теряет льготы по налогообложению (за исключением перевода всех Активов, учитываемых на ИИС Клиента, на другой ИИС, открытый тому же физическому лицу у другого профессионального участника рынка ценных бумаг), а уже полученные вычеты необходимо будет вернуть государству и уплатить штрафные пени</w:t>
      </w:r>
      <w:r w:rsidR="00EF7C55" w:rsidRPr="00661CAA">
        <w:rPr>
          <w:rFonts w:ascii="Times New Roman" w:eastAsia="Times New Roman" w:hAnsi="Times New Roman"/>
          <w:bCs/>
          <w:sz w:val="18"/>
          <w:szCs w:val="18"/>
          <w:lang w:eastAsia="ru-RU"/>
        </w:rPr>
        <w:t>.</w:t>
      </w:r>
      <w:r w:rsidR="007C4263" w:rsidRPr="00661CAA">
        <w:rPr>
          <w:sz w:val="18"/>
          <w:szCs w:val="18"/>
        </w:rPr>
        <w:t xml:space="preserve"> </w:t>
      </w:r>
      <w:r w:rsidR="00083099" w:rsidRPr="00661CAA">
        <w:rPr>
          <w:rFonts w:ascii="Times New Roman" w:eastAsia="Times New Roman" w:hAnsi="Times New Roman"/>
          <w:bCs/>
          <w:sz w:val="18"/>
          <w:szCs w:val="18"/>
          <w:lang w:eastAsia="ru-RU"/>
        </w:rPr>
        <w:t>Банк</w:t>
      </w:r>
      <w:r w:rsidR="00EF7C55" w:rsidRPr="00661CAA">
        <w:rPr>
          <w:rFonts w:ascii="Times New Roman" w:eastAsia="Times New Roman" w:hAnsi="Times New Roman"/>
          <w:bCs/>
          <w:sz w:val="18"/>
          <w:szCs w:val="18"/>
          <w:lang w:eastAsia="ru-RU"/>
        </w:rPr>
        <w:t xml:space="preserve"> </w:t>
      </w:r>
      <w:r w:rsidR="003E3C37" w:rsidRPr="00661CAA">
        <w:rPr>
          <w:rFonts w:ascii="Times New Roman" w:eastAsia="Times New Roman" w:hAnsi="Times New Roman"/>
          <w:bCs/>
          <w:sz w:val="18"/>
          <w:szCs w:val="18"/>
          <w:lang w:eastAsia="ru-RU"/>
        </w:rPr>
        <w:t>может не знать</w:t>
      </w:r>
      <w:r w:rsidR="00EF7C55" w:rsidRPr="00661CAA">
        <w:rPr>
          <w:rFonts w:ascii="Times New Roman" w:eastAsia="Times New Roman" w:hAnsi="Times New Roman"/>
          <w:bCs/>
          <w:sz w:val="18"/>
          <w:szCs w:val="18"/>
          <w:lang w:eastAsia="ru-RU"/>
        </w:rPr>
        <w:t xml:space="preserve"> о выборе варианта инвестиционного налогового вычета</w:t>
      </w:r>
      <w:r w:rsidR="001454EE" w:rsidRPr="00661CAA">
        <w:rPr>
          <w:rFonts w:ascii="Times New Roman" w:eastAsia="Times New Roman" w:hAnsi="Times New Roman"/>
          <w:bCs/>
          <w:sz w:val="18"/>
          <w:szCs w:val="18"/>
          <w:lang w:eastAsia="ru-RU"/>
        </w:rPr>
        <w:t xml:space="preserve"> Клиентом</w:t>
      </w:r>
      <w:r w:rsidR="00EF7C55" w:rsidRPr="00661CAA">
        <w:rPr>
          <w:rFonts w:ascii="Times New Roman" w:eastAsia="Times New Roman" w:hAnsi="Times New Roman"/>
          <w:bCs/>
          <w:sz w:val="18"/>
          <w:szCs w:val="18"/>
          <w:lang w:eastAsia="ru-RU"/>
        </w:rPr>
        <w:t xml:space="preserve"> и не участвует в </w:t>
      </w:r>
      <w:r w:rsidR="001454EE" w:rsidRPr="00661CAA">
        <w:rPr>
          <w:rFonts w:ascii="Times New Roman" w:eastAsia="Times New Roman" w:hAnsi="Times New Roman"/>
          <w:bCs/>
          <w:sz w:val="18"/>
          <w:szCs w:val="18"/>
          <w:lang w:eastAsia="ru-RU"/>
        </w:rPr>
        <w:t>его</w:t>
      </w:r>
      <w:r w:rsidR="00EF7C55" w:rsidRPr="00661CAA">
        <w:rPr>
          <w:rFonts w:ascii="Times New Roman" w:eastAsia="Times New Roman" w:hAnsi="Times New Roman"/>
          <w:bCs/>
          <w:sz w:val="18"/>
          <w:szCs w:val="18"/>
          <w:lang w:eastAsia="ru-RU"/>
        </w:rPr>
        <w:t xml:space="preserve"> отношениях с налоговой службой.</w:t>
      </w:r>
    </w:p>
    <w:p w:rsidR="007C4263" w:rsidRPr="00661CAA" w:rsidRDefault="001454EE" w:rsidP="007C4263">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Клиент</w:t>
      </w:r>
      <w:r w:rsidR="00EF7C55" w:rsidRPr="00661CAA">
        <w:rPr>
          <w:rFonts w:ascii="Times New Roman" w:eastAsia="Times New Roman" w:hAnsi="Times New Roman"/>
          <w:bCs/>
          <w:sz w:val="18"/>
          <w:szCs w:val="18"/>
          <w:lang w:eastAsia="ru-RU"/>
        </w:rPr>
        <w:t xml:space="preserve"> может иметь только один индивидуальный инвестиционный счет</w:t>
      </w:r>
      <w:r w:rsidR="007C4263" w:rsidRPr="00661CAA">
        <w:rPr>
          <w:sz w:val="18"/>
          <w:szCs w:val="18"/>
        </w:rPr>
        <w:t xml:space="preserve"> </w:t>
      </w:r>
      <w:r w:rsidR="007C4263" w:rsidRPr="00661CAA">
        <w:rPr>
          <w:rFonts w:ascii="Times New Roman" w:eastAsia="Times New Roman" w:hAnsi="Times New Roman"/>
          <w:bCs/>
          <w:sz w:val="18"/>
          <w:szCs w:val="18"/>
          <w:lang w:eastAsia="ru-RU"/>
        </w:rPr>
        <w:t>в случае, если договор ИИС заключен в период с 01.01.2015 г. по 31.12.2023 г. включительно.</w:t>
      </w:r>
    </w:p>
    <w:p w:rsidR="007C4263" w:rsidRPr="00661CAA" w:rsidRDefault="007C4263" w:rsidP="007C4263">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Клиент вправе иметь одновременно не более 3 (Трех) ИИС, договоры на ведение которых заключены Клиентом после 01.01.2024 г.</w:t>
      </w:r>
    </w:p>
    <w:p w:rsidR="00FE0EEB" w:rsidRPr="00661CAA" w:rsidRDefault="00EF7C55" w:rsidP="007C4263">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Открытие у одного или у разных профессиональных участников рынка цен</w:t>
      </w:r>
      <w:r w:rsidR="001454EE" w:rsidRPr="00661CAA">
        <w:rPr>
          <w:rFonts w:ascii="Times New Roman" w:eastAsia="Times New Roman" w:hAnsi="Times New Roman"/>
          <w:bCs/>
          <w:sz w:val="18"/>
          <w:szCs w:val="18"/>
          <w:lang w:eastAsia="ru-RU"/>
        </w:rPr>
        <w:t xml:space="preserve">ных бумаг </w:t>
      </w:r>
      <w:r w:rsidR="007C4263" w:rsidRPr="00661CAA">
        <w:rPr>
          <w:rFonts w:ascii="Times New Roman" w:eastAsia="Times New Roman" w:hAnsi="Times New Roman"/>
          <w:bCs/>
          <w:sz w:val="18"/>
          <w:szCs w:val="18"/>
          <w:lang w:eastAsia="ru-RU"/>
        </w:rPr>
        <w:t xml:space="preserve">большего числа индивидуальных инвестиционных счетов, чем это предусмотрено действующим законодательством РФ, </w:t>
      </w:r>
      <w:r w:rsidR="001454EE" w:rsidRPr="00661CAA">
        <w:rPr>
          <w:rFonts w:ascii="Times New Roman" w:eastAsia="Times New Roman" w:hAnsi="Times New Roman"/>
          <w:bCs/>
          <w:sz w:val="18"/>
          <w:szCs w:val="18"/>
          <w:lang w:eastAsia="ru-RU"/>
        </w:rPr>
        <w:t xml:space="preserve">приведет к тому, что </w:t>
      </w:r>
      <w:r w:rsidR="00FE0EEB" w:rsidRPr="00661CAA">
        <w:rPr>
          <w:rFonts w:ascii="Times New Roman" w:eastAsia="Times New Roman" w:hAnsi="Times New Roman"/>
          <w:bCs/>
          <w:sz w:val="18"/>
          <w:szCs w:val="18"/>
          <w:lang w:eastAsia="ru-RU"/>
        </w:rPr>
        <w:t xml:space="preserve">Клиент </w:t>
      </w:r>
      <w:r w:rsidRPr="00661CAA">
        <w:rPr>
          <w:rFonts w:ascii="Times New Roman" w:eastAsia="Times New Roman" w:hAnsi="Times New Roman"/>
          <w:bCs/>
          <w:sz w:val="18"/>
          <w:szCs w:val="18"/>
          <w:lang w:eastAsia="ru-RU"/>
        </w:rPr>
        <w:t>не сможет воспользоваться инвестиционным налоговым вычетом ни по одному из них.</w:t>
      </w:r>
      <w:r w:rsidR="007C4263" w:rsidRPr="00661CAA">
        <w:rPr>
          <w:rFonts w:ascii="Times New Roman" w:eastAsia="Times New Roman" w:hAnsi="Times New Roman"/>
          <w:bCs/>
          <w:sz w:val="18"/>
          <w:szCs w:val="18"/>
          <w:lang w:eastAsia="ru-RU"/>
        </w:rPr>
        <w:t xml:space="preserve"> </w:t>
      </w:r>
    </w:p>
    <w:p w:rsidR="00FE0EEB" w:rsidRPr="00661CAA" w:rsidRDefault="001B4B37" w:rsidP="007C4263">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Для минимизации рисков, связанных с индивидуальными инвестиционными счетами, </w:t>
      </w:r>
      <w:r w:rsidR="00FE0EEB" w:rsidRPr="00661CAA">
        <w:rPr>
          <w:rFonts w:ascii="Times New Roman" w:eastAsia="Times New Roman" w:hAnsi="Times New Roman"/>
          <w:bCs/>
          <w:sz w:val="18"/>
          <w:szCs w:val="18"/>
          <w:lang w:eastAsia="ru-RU"/>
        </w:rPr>
        <w:t>Клиент</w:t>
      </w:r>
      <w:r w:rsidRPr="00661CAA">
        <w:rPr>
          <w:rFonts w:ascii="Times New Roman" w:eastAsia="Times New Roman" w:hAnsi="Times New Roman"/>
          <w:bCs/>
          <w:sz w:val="18"/>
          <w:szCs w:val="18"/>
          <w:lang w:eastAsia="ru-RU"/>
        </w:rPr>
        <w:t xml:space="preserve"> должен внимательно ознакомится с законодательством,</w:t>
      </w:r>
      <w:r w:rsidR="00FE0EEB"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 xml:space="preserve">регулирующим открытие и ведение индивидуальных инвестиционных счетов, в том числе, </w:t>
      </w:r>
      <w:r w:rsidR="00FE0EEB" w:rsidRPr="00661CAA">
        <w:rPr>
          <w:rFonts w:ascii="Times New Roman" w:eastAsia="Times New Roman" w:hAnsi="Times New Roman"/>
          <w:bCs/>
          <w:sz w:val="18"/>
          <w:szCs w:val="18"/>
          <w:lang w:eastAsia="ru-RU"/>
        </w:rPr>
        <w:t xml:space="preserve">следует </w:t>
      </w:r>
      <w:r w:rsidRPr="00661CAA">
        <w:rPr>
          <w:rFonts w:ascii="Times New Roman" w:eastAsia="Times New Roman" w:hAnsi="Times New Roman"/>
          <w:bCs/>
          <w:sz w:val="18"/>
          <w:szCs w:val="18"/>
          <w:lang w:eastAsia="ru-RU"/>
        </w:rPr>
        <w:t>учесть следующие</w:t>
      </w:r>
      <w:r w:rsidR="00FE0EEB"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особенности использования индивидуальных инвестиционных счетов</w:t>
      </w:r>
      <w:r w:rsidR="00FE0EEB" w:rsidRPr="00661CAA">
        <w:rPr>
          <w:rFonts w:ascii="Times New Roman" w:eastAsia="Times New Roman" w:hAnsi="Times New Roman"/>
          <w:bCs/>
          <w:sz w:val="18"/>
          <w:szCs w:val="18"/>
          <w:lang w:eastAsia="ru-RU"/>
        </w:rPr>
        <w:t>:</w:t>
      </w:r>
    </w:p>
    <w:p w:rsidR="001B5ADE" w:rsidRPr="00661CAA" w:rsidRDefault="001B5ADE" w:rsidP="001B5ADE">
      <w:pPr>
        <w:pStyle w:val="a3"/>
        <w:widowControl w:val="0"/>
        <w:numPr>
          <w:ilvl w:val="0"/>
          <w:numId w:val="6"/>
        </w:numPr>
        <w:autoSpaceDE w:val="0"/>
        <w:autoSpaceDN w:val="0"/>
        <w:spacing w:after="0" w:line="240" w:lineRule="auto"/>
        <w:ind w:left="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категории финансовых инструментов, приобретение которых допускается за счет имущества, учитываемого на</w:t>
      </w:r>
      <w:r w:rsidRPr="00661CAA">
        <w:rPr>
          <w:sz w:val="18"/>
          <w:szCs w:val="18"/>
        </w:rPr>
        <w:t xml:space="preserve"> </w:t>
      </w:r>
      <w:r w:rsidRPr="00661CAA">
        <w:rPr>
          <w:rFonts w:ascii="Times New Roman" w:eastAsia="Times New Roman" w:hAnsi="Times New Roman"/>
          <w:bCs/>
          <w:sz w:val="18"/>
          <w:szCs w:val="18"/>
          <w:lang w:eastAsia="ru-RU"/>
        </w:rPr>
        <w:t xml:space="preserve">индивидуальном инвестиционном счете, определяются Правительством РФ. </w:t>
      </w:r>
    </w:p>
    <w:p w:rsidR="001B5ADE" w:rsidRPr="00661CAA" w:rsidRDefault="00FE0EEB" w:rsidP="001B5ADE">
      <w:pPr>
        <w:pStyle w:val="a3"/>
        <w:widowControl w:val="0"/>
        <w:numPr>
          <w:ilvl w:val="0"/>
          <w:numId w:val="6"/>
        </w:numPr>
        <w:autoSpaceDE w:val="0"/>
        <w:autoSpaceDN w:val="0"/>
        <w:spacing w:after="0" w:line="240" w:lineRule="auto"/>
        <w:ind w:left="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денежные средства, драгоценные металлы и ценные бумаги, которые учтены на индивидуальном инвестиционном счете, используются только для исполнения и</w:t>
      </w:r>
      <w:r w:rsidR="001B5ADE"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(или) обеспечения обязательств, вытекающих из договоров, заключенных на основании договора ИИС</w:t>
      </w:r>
      <w:r w:rsidR="001B5ADE" w:rsidRPr="00661CAA">
        <w:rPr>
          <w:rFonts w:ascii="Times New Roman" w:eastAsia="Times New Roman" w:hAnsi="Times New Roman"/>
          <w:bCs/>
          <w:sz w:val="18"/>
          <w:szCs w:val="18"/>
          <w:lang w:eastAsia="ru-RU"/>
        </w:rPr>
        <w:t>, и для исполнения и(или) обеспечения обязательств по Договору ИИС;</w:t>
      </w:r>
    </w:p>
    <w:p w:rsidR="001B5ADE" w:rsidRPr="00661CAA" w:rsidRDefault="001B5ADE" w:rsidP="001B5ADE">
      <w:pPr>
        <w:pStyle w:val="a3"/>
        <w:widowControl w:val="0"/>
        <w:numPr>
          <w:ilvl w:val="0"/>
          <w:numId w:val="6"/>
        </w:numPr>
        <w:autoSpaceDE w:val="0"/>
        <w:autoSpaceDN w:val="0"/>
        <w:spacing w:after="0" w:line="240" w:lineRule="auto"/>
        <w:ind w:left="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перечисление доходов и выплат, вытекающих из договоров, заключенных на основании Договора ИИС, без их учета на индивидуальном инвестиционном счете не допускается;</w:t>
      </w:r>
    </w:p>
    <w:p w:rsidR="001B4B37" w:rsidRPr="00661CAA" w:rsidRDefault="00FE0EEB" w:rsidP="001B4B37">
      <w:pPr>
        <w:pStyle w:val="a3"/>
        <w:widowControl w:val="0"/>
        <w:numPr>
          <w:ilvl w:val="0"/>
          <w:numId w:val="6"/>
        </w:numPr>
        <w:autoSpaceDE w:val="0"/>
        <w:autoSpaceDN w:val="0"/>
        <w:spacing w:after="0" w:line="240" w:lineRule="auto"/>
        <w:ind w:left="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в</w:t>
      </w:r>
      <w:r w:rsidR="007C4263" w:rsidRPr="00661CAA">
        <w:rPr>
          <w:rFonts w:ascii="Times New Roman" w:eastAsia="Times New Roman" w:hAnsi="Times New Roman"/>
          <w:bCs/>
          <w:sz w:val="18"/>
          <w:szCs w:val="18"/>
          <w:lang w:eastAsia="ru-RU"/>
        </w:rPr>
        <w:t xml:space="preserve">озврат Клиенту денежных средств, драгоценных металлов и ценных бумаг, учтенных на ИИС Клиента, не допускается без расторжения Договора ИИС, в рамках которого открыт данный ИИС, если иное не предусмотрено </w:t>
      </w:r>
      <w:r w:rsidRPr="00661CAA">
        <w:rPr>
          <w:rFonts w:ascii="Times New Roman" w:eastAsia="Times New Roman" w:hAnsi="Times New Roman"/>
          <w:bCs/>
          <w:sz w:val="18"/>
          <w:szCs w:val="18"/>
          <w:lang w:eastAsia="ru-RU"/>
        </w:rPr>
        <w:t>действующим законодательством РФ</w:t>
      </w:r>
      <w:r w:rsidR="007C4263" w:rsidRPr="00661CAA">
        <w:rPr>
          <w:rFonts w:ascii="Times New Roman" w:eastAsia="Times New Roman" w:hAnsi="Times New Roman"/>
          <w:bCs/>
          <w:sz w:val="18"/>
          <w:szCs w:val="18"/>
          <w:lang w:eastAsia="ru-RU"/>
        </w:rPr>
        <w:t>.</w:t>
      </w:r>
    </w:p>
    <w:p w:rsidR="008E495A" w:rsidRPr="00661CAA" w:rsidRDefault="00854192" w:rsidP="00EF7C55">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Кредитный риск</w:t>
      </w:r>
      <w:r w:rsidRPr="00661CAA">
        <w:rPr>
          <w:rFonts w:ascii="Times New Roman" w:eastAsia="Times New Roman" w:hAnsi="Times New Roman"/>
          <w:bCs/>
          <w:sz w:val="18"/>
          <w:szCs w:val="18"/>
          <w:lang w:eastAsia="ru-RU"/>
        </w:rPr>
        <w:t xml:space="preserve"> – </w:t>
      </w:r>
      <w:r w:rsidR="008E495A" w:rsidRPr="00661CAA">
        <w:rPr>
          <w:rFonts w:ascii="Times New Roman" w:eastAsia="Times New Roman" w:hAnsi="Times New Roman"/>
          <w:bCs/>
          <w:sz w:val="18"/>
          <w:szCs w:val="18"/>
          <w:lang w:eastAsia="ru-RU"/>
        </w:rPr>
        <w:t>этот риск заключается в возможности невыполнения контрактных и иных обязательств, принятых на себя другими лицами в связи с операциями Клиента.</w:t>
      </w:r>
    </w:p>
    <w:p w:rsidR="008E495A" w:rsidRPr="00661CAA" w:rsidRDefault="008E495A" w:rsidP="008E495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К числу кредитных рисков относятся следующие риски:</w:t>
      </w:r>
    </w:p>
    <w:p w:rsidR="008E495A" w:rsidRPr="00661CAA" w:rsidRDefault="008E495A" w:rsidP="008E495A">
      <w:pPr>
        <w:pStyle w:val="a3"/>
        <w:widowControl w:val="0"/>
        <w:numPr>
          <w:ilvl w:val="0"/>
          <w:numId w:val="6"/>
        </w:numPr>
        <w:autoSpaceDE w:val="0"/>
        <w:autoSpaceDN w:val="0"/>
        <w:spacing w:after="0" w:line="240" w:lineRule="auto"/>
        <w:ind w:left="709" w:hanging="283"/>
        <w:jc w:val="both"/>
        <w:rPr>
          <w:rFonts w:ascii="Times New Roman" w:eastAsia="Times New Roman" w:hAnsi="Times New Roman"/>
          <w:bCs/>
          <w:sz w:val="18"/>
          <w:szCs w:val="18"/>
          <w:lang w:eastAsia="ru-RU"/>
        </w:rPr>
      </w:pPr>
      <w:r w:rsidRPr="00661CAA">
        <w:rPr>
          <w:rFonts w:ascii="Times New Roman" w:eastAsia="Times New Roman" w:hAnsi="Times New Roman"/>
          <w:b/>
          <w:bCs/>
          <w:i/>
          <w:sz w:val="18"/>
          <w:szCs w:val="18"/>
          <w:lang w:eastAsia="ru-RU"/>
        </w:rPr>
        <w:t>риск дефолта по облигациям и иным долговым ценным бумагам:</w:t>
      </w:r>
      <w:r w:rsidRPr="00661CAA">
        <w:rPr>
          <w:rFonts w:ascii="Times New Roman" w:eastAsia="Times New Roman" w:hAnsi="Times New Roman"/>
          <w:b/>
          <w:bCs/>
          <w:sz w:val="18"/>
          <w:szCs w:val="18"/>
          <w:lang w:eastAsia="ru-RU"/>
        </w:rPr>
        <w:t xml:space="preserve"> </w:t>
      </w:r>
      <w:r w:rsidRPr="00661CAA">
        <w:rPr>
          <w:rFonts w:ascii="Times New Roman" w:eastAsia="Times New Roman" w:hAnsi="Times New Roman"/>
          <w:bCs/>
          <w:sz w:val="18"/>
          <w:szCs w:val="18"/>
          <w:lang w:eastAsia="ru-RU"/>
        </w:rPr>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8E495A" w:rsidRPr="00661CAA" w:rsidRDefault="008E495A" w:rsidP="008E495A">
      <w:pPr>
        <w:pStyle w:val="a3"/>
        <w:widowControl w:val="0"/>
        <w:numPr>
          <w:ilvl w:val="0"/>
          <w:numId w:val="6"/>
        </w:numPr>
        <w:autoSpaceDE w:val="0"/>
        <w:autoSpaceDN w:val="0"/>
        <w:spacing w:after="0" w:line="240" w:lineRule="auto"/>
        <w:ind w:left="709" w:hanging="283"/>
        <w:jc w:val="both"/>
        <w:rPr>
          <w:rFonts w:ascii="Times New Roman" w:eastAsia="Times New Roman" w:hAnsi="Times New Roman"/>
          <w:bCs/>
          <w:sz w:val="18"/>
          <w:szCs w:val="18"/>
          <w:lang w:eastAsia="ru-RU"/>
        </w:rPr>
      </w:pPr>
      <w:r w:rsidRPr="00661CAA">
        <w:rPr>
          <w:rFonts w:ascii="Times New Roman" w:eastAsia="Times New Roman" w:hAnsi="Times New Roman"/>
          <w:b/>
          <w:bCs/>
          <w:i/>
          <w:sz w:val="18"/>
          <w:szCs w:val="18"/>
          <w:lang w:eastAsia="ru-RU"/>
        </w:rPr>
        <w:t>риск контрагента:</w:t>
      </w:r>
      <w:r w:rsidRPr="00661CAA">
        <w:rPr>
          <w:rFonts w:ascii="Times New Roman" w:eastAsia="Times New Roman" w:hAnsi="Times New Roman"/>
          <w:bCs/>
          <w:sz w:val="18"/>
          <w:szCs w:val="18"/>
          <w:lang w:eastAsia="ru-RU"/>
        </w:rPr>
        <w:t xml:space="preserve"> риск контрагента — третьего лица проявляется в риске неисполнения обязательств перед Клиентом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а или самим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ом со стороны контрагентов.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w:t>
      </w:r>
    </w:p>
    <w:p w:rsidR="008E495A" w:rsidRPr="00661CAA" w:rsidRDefault="00EE4464" w:rsidP="00336E35">
      <w:pPr>
        <w:pStyle w:val="a3"/>
        <w:widowControl w:val="0"/>
        <w:numPr>
          <w:ilvl w:val="0"/>
          <w:numId w:val="6"/>
        </w:numPr>
        <w:autoSpaceDE w:val="0"/>
        <w:autoSpaceDN w:val="0"/>
        <w:spacing w:after="0" w:line="240" w:lineRule="auto"/>
        <w:ind w:left="709" w:hanging="283"/>
        <w:jc w:val="both"/>
        <w:rPr>
          <w:rFonts w:ascii="Times New Roman" w:eastAsia="Times New Roman" w:hAnsi="Times New Roman"/>
          <w:bCs/>
          <w:sz w:val="18"/>
          <w:szCs w:val="18"/>
          <w:lang w:eastAsia="ru-RU"/>
        </w:rPr>
      </w:pPr>
      <w:r w:rsidRPr="00661CAA">
        <w:rPr>
          <w:rFonts w:ascii="Times New Roman" w:eastAsia="Times New Roman" w:hAnsi="Times New Roman"/>
          <w:b/>
          <w:bCs/>
          <w:i/>
          <w:sz w:val="18"/>
          <w:szCs w:val="18"/>
          <w:lang w:eastAsia="ru-RU"/>
        </w:rPr>
        <w:t>р</w:t>
      </w:r>
      <w:r w:rsidR="008E495A" w:rsidRPr="00661CAA">
        <w:rPr>
          <w:rFonts w:ascii="Times New Roman" w:eastAsia="Times New Roman" w:hAnsi="Times New Roman"/>
          <w:b/>
          <w:bCs/>
          <w:i/>
          <w:sz w:val="18"/>
          <w:szCs w:val="18"/>
          <w:lang w:eastAsia="ru-RU"/>
        </w:rPr>
        <w:t xml:space="preserve">иск неисполнения обязательств перед вами вашим </w:t>
      </w:r>
      <w:r w:rsidR="00083099" w:rsidRPr="00661CAA">
        <w:rPr>
          <w:rFonts w:ascii="Times New Roman" w:eastAsia="Times New Roman" w:hAnsi="Times New Roman"/>
          <w:b/>
          <w:bCs/>
          <w:i/>
          <w:sz w:val="18"/>
          <w:szCs w:val="18"/>
          <w:lang w:eastAsia="ru-RU"/>
        </w:rPr>
        <w:t>Банк</w:t>
      </w:r>
      <w:r w:rsidR="008E495A" w:rsidRPr="00661CAA">
        <w:rPr>
          <w:rFonts w:ascii="Times New Roman" w:eastAsia="Times New Roman" w:hAnsi="Times New Roman"/>
          <w:b/>
          <w:bCs/>
          <w:i/>
          <w:sz w:val="18"/>
          <w:szCs w:val="18"/>
          <w:lang w:eastAsia="ru-RU"/>
        </w:rPr>
        <w:t>ом</w:t>
      </w:r>
      <w:r w:rsidRPr="00661CAA">
        <w:rPr>
          <w:rFonts w:ascii="Times New Roman" w:eastAsia="Times New Roman" w:hAnsi="Times New Roman"/>
          <w:b/>
          <w:bCs/>
          <w:i/>
          <w:sz w:val="18"/>
          <w:szCs w:val="18"/>
          <w:lang w:eastAsia="ru-RU"/>
        </w:rPr>
        <w:t>:</w:t>
      </w:r>
      <w:r w:rsidRPr="00661CAA">
        <w:rPr>
          <w:rFonts w:ascii="Times New Roman" w:eastAsia="Times New Roman" w:hAnsi="Times New Roman"/>
          <w:bCs/>
          <w:sz w:val="18"/>
          <w:szCs w:val="18"/>
          <w:lang w:eastAsia="ru-RU"/>
        </w:rPr>
        <w:t xml:space="preserve"> р</w:t>
      </w:r>
      <w:r w:rsidR="008E495A" w:rsidRPr="00661CAA">
        <w:rPr>
          <w:rFonts w:ascii="Times New Roman" w:eastAsia="Times New Roman" w:hAnsi="Times New Roman"/>
          <w:bCs/>
          <w:sz w:val="18"/>
          <w:szCs w:val="18"/>
          <w:lang w:eastAsia="ru-RU"/>
        </w:rPr>
        <w:t xml:space="preserve">иск неисполнения </w:t>
      </w:r>
      <w:r w:rsidR="00083099" w:rsidRPr="00661CAA">
        <w:rPr>
          <w:rFonts w:ascii="Times New Roman" w:eastAsia="Times New Roman" w:hAnsi="Times New Roman"/>
          <w:bCs/>
          <w:sz w:val="18"/>
          <w:szCs w:val="18"/>
          <w:lang w:eastAsia="ru-RU"/>
        </w:rPr>
        <w:t>Банк</w:t>
      </w:r>
      <w:r w:rsidR="008E495A" w:rsidRPr="00661CAA">
        <w:rPr>
          <w:rFonts w:ascii="Times New Roman" w:eastAsia="Times New Roman" w:hAnsi="Times New Roman"/>
          <w:bCs/>
          <w:sz w:val="18"/>
          <w:szCs w:val="18"/>
          <w:lang w:eastAsia="ru-RU"/>
        </w:rPr>
        <w:t xml:space="preserve">ом некоторых обязательств перед </w:t>
      </w:r>
      <w:r w:rsidRPr="00661CAA">
        <w:rPr>
          <w:rFonts w:ascii="Times New Roman" w:eastAsia="Times New Roman" w:hAnsi="Times New Roman"/>
          <w:bCs/>
          <w:sz w:val="18"/>
          <w:szCs w:val="18"/>
          <w:lang w:eastAsia="ru-RU"/>
        </w:rPr>
        <w:t>Клиентом</w:t>
      </w:r>
      <w:r w:rsidR="008E495A" w:rsidRPr="00661CAA">
        <w:rPr>
          <w:rFonts w:ascii="Times New Roman" w:eastAsia="Times New Roman" w:hAnsi="Times New Roman"/>
          <w:bCs/>
          <w:sz w:val="18"/>
          <w:szCs w:val="18"/>
          <w:lang w:eastAsia="ru-RU"/>
        </w:rPr>
        <w:t xml:space="preserve"> является видом риска контрагента.</w:t>
      </w:r>
      <w:r w:rsidR="0055051E" w:rsidRPr="00661CAA">
        <w:rPr>
          <w:rFonts w:ascii="Times New Roman" w:hAnsi="Times New Roman"/>
          <w:sz w:val="18"/>
          <w:szCs w:val="18"/>
        </w:rPr>
        <w:t xml:space="preserve"> «Законодательство не предусматривает возможности разделения денежных средств Банка и денежных средств его клиентов, в связи с чем Банк вправе использовать денежные средства Клиента  и  Клиент  принимает на себя риск  банкротства.</w:t>
      </w:r>
      <w:r w:rsidR="008E495A" w:rsidRPr="00661CAA">
        <w:rPr>
          <w:rFonts w:ascii="Times New Roman" w:eastAsia="Times New Roman" w:hAnsi="Times New Roman"/>
          <w:bCs/>
          <w:sz w:val="18"/>
          <w:szCs w:val="18"/>
          <w:lang w:eastAsia="ru-RU"/>
        </w:rPr>
        <w:t xml:space="preserve"> Такой риск в настоящее время не страхуется</w:t>
      </w:r>
      <w:r w:rsidRPr="00661CAA">
        <w:rPr>
          <w:rFonts w:ascii="Times New Roman" w:eastAsia="Times New Roman" w:hAnsi="Times New Roman"/>
          <w:bCs/>
          <w:sz w:val="18"/>
          <w:szCs w:val="18"/>
          <w:lang w:eastAsia="ru-RU"/>
        </w:rPr>
        <w:t xml:space="preserve"> Клиент должен в</w:t>
      </w:r>
      <w:r w:rsidR="008E495A" w:rsidRPr="00661CAA">
        <w:rPr>
          <w:rFonts w:ascii="Times New Roman" w:eastAsia="Times New Roman" w:hAnsi="Times New Roman"/>
          <w:bCs/>
          <w:sz w:val="18"/>
          <w:szCs w:val="18"/>
          <w:lang w:eastAsia="ru-RU"/>
        </w:rPr>
        <w:t>нимательно ознаком</w:t>
      </w:r>
      <w:r w:rsidRPr="00661CAA">
        <w:rPr>
          <w:rFonts w:ascii="Times New Roman" w:eastAsia="Times New Roman" w:hAnsi="Times New Roman"/>
          <w:bCs/>
          <w:sz w:val="18"/>
          <w:szCs w:val="18"/>
          <w:lang w:eastAsia="ru-RU"/>
        </w:rPr>
        <w:t>иться</w:t>
      </w:r>
      <w:r w:rsidR="008E495A" w:rsidRPr="00661CAA">
        <w:rPr>
          <w:rFonts w:ascii="Times New Roman" w:eastAsia="Times New Roman" w:hAnsi="Times New Roman"/>
          <w:bCs/>
          <w:sz w:val="18"/>
          <w:szCs w:val="18"/>
          <w:lang w:eastAsia="ru-RU"/>
        </w:rPr>
        <w:t xml:space="preserve"> с проектом договора для того, чтобы оценить, какие полномочия по использованию </w:t>
      </w:r>
      <w:r w:rsidRPr="00661CAA">
        <w:rPr>
          <w:rFonts w:ascii="Times New Roman" w:eastAsia="Times New Roman" w:hAnsi="Times New Roman"/>
          <w:bCs/>
          <w:sz w:val="18"/>
          <w:szCs w:val="18"/>
          <w:lang w:eastAsia="ru-RU"/>
        </w:rPr>
        <w:t xml:space="preserve">его имущества будет иметь </w:t>
      </w:r>
      <w:r w:rsidR="00083099" w:rsidRPr="00661CAA">
        <w:rPr>
          <w:rFonts w:ascii="Times New Roman" w:eastAsia="Times New Roman" w:hAnsi="Times New Roman"/>
          <w:bCs/>
          <w:sz w:val="18"/>
          <w:szCs w:val="18"/>
          <w:lang w:eastAsia="ru-RU"/>
        </w:rPr>
        <w:t>Банк</w:t>
      </w:r>
      <w:r w:rsidR="008E495A" w:rsidRPr="00661CAA">
        <w:rPr>
          <w:rFonts w:ascii="Times New Roman" w:eastAsia="Times New Roman" w:hAnsi="Times New Roman"/>
          <w:bCs/>
          <w:sz w:val="18"/>
          <w:szCs w:val="18"/>
          <w:lang w:eastAsia="ru-RU"/>
        </w:rPr>
        <w:t>, каковы правила его хранения, а также возврата.</w:t>
      </w:r>
      <w:r w:rsidR="00083099" w:rsidRPr="00661CAA">
        <w:rPr>
          <w:rFonts w:ascii="Times New Roman" w:eastAsia="Times New Roman" w:hAnsi="Times New Roman"/>
          <w:bCs/>
          <w:sz w:val="18"/>
          <w:szCs w:val="18"/>
          <w:lang w:eastAsia="ru-RU"/>
        </w:rPr>
        <w:t xml:space="preserve"> Банк</w:t>
      </w:r>
      <w:r w:rsidR="008E495A" w:rsidRPr="00661CAA">
        <w:rPr>
          <w:rFonts w:ascii="Times New Roman" w:eastAsia="Times New Roman" w:hAnsi="Times New Roman"/>
          <w:bCs/>
          <w:sz w:val="18"/>
          <w:szCs w:val="18"/>
          <w:lang w:eastAsia="ru-RU"/>
        </w:rPr>
        <w:t xml:space="preserve"> является членом НАУФОР, к которой </w:t>
      </w:r>
      <w:r w:rsidRPr="00661CAA">
        <w:rPr>
          <w:rFonts w:ascii="Times New Roman" w:eastAsia="Times New Roman" w:hAnsi="Times New Roman"/>
          <w:bCs/>
          <w:sz w:val="18"/>
          <w:szCs w:val="18"/>
          <w:lang w:eastAsia="ru-RU"/>
        </w:rPr>
        <w:t>Клиент</w:t>
      </w:r>
      <w:r w:rsidR="008E495A" w:rsidRPr="00661CAA">
        <w:rPr>
          <w:rFonts w:ascii="Times New Roman" w:eastAsia="Times New Roman" w:hAnsi="Times New Roman"/>
          <w:bCs/>
          <w:sz w:val="18"/>
          <w:szCs w:val="18"/>
          <w:lang w:eastAsia="ru-RU"/>
        </w:rPr>
        <w:t xml:space="preserve"> может обратиться в случае нарушения </w:t>
      </w:r>
      <w:r w:rsidRPr="00661CAA">
        <w:rPr>
          <w:rFonts w:ascii="Times New Roman" w:eastAsia="Times New Roman" w:hAnsi="Times New Roman"/>
          <w:bCs/>
          <w:sz w:val="18"/>
          <w:szCs w:val="18"/>
          <w:lang w:eastAsia="ru-RU"/>
        </w:rPr>
        <w:t>его</w:t>
      </w:r>
      <w:r w:rsidR="008E495A" w:rsidRPr="00661CAA">
        <w:rPr>
          <w:rFonts w:ascii="Times New Roman" w:eastAsia="Times New Roman" w:hAnsi="Times New Roman"/>
          <w:bCs/>
          <w:sz w:val="18"/>
          <w:szCs w:val="18"/>
          <w:lang w:eastAsia="ru-RU"/>
        </w:rPr>
        <w:t xml:space="preserve">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w:t>
      </w:r>
      <w:r w:rsidRPr="00661CAA">
        <w:rPr>
          <w:rFonts w:ascii="Times New Roman" w:eastAsia="Times New Roman" w:hAnsi="Times New Roman"/>
          <w:bCs/>
          <w:sz w:val="18"/>
          <w:szCs w:val="18"/>
          <w:lang w:eastAsia="ru-RU"/>
        </w:rPr>
        <w:t>Клиент</w:t>
      </w:r>
      <w:r w:rsidR="008E495A" w:rsidRPr="00661CAA">
        <w:rPr>
          <w:rFonts w:ascii="Times New Roman" w:eastAsia="Times New Roman" w:hAnsi="Times New Roman"/>
          <w:bCs/>
          <w:sz w:val="18"/>
          <w:szCs w:val="18"/>
          <w:lang w:eastAsia="ru-RU"/>
        </w:rPr>
        <w:t xml:space="preserve"> также может обращаться в случае нарушения </w:t>
      </w:r>
      <w:r w:rsidRPr="00661CAA">
        <w:rPr>
          <w:rFonts w:ascii="Times New Roman" w:eastAsia="Times New Roman" w:hAnsi="Times New Roman"/>
          <w:bCs/>
          <w:sz w:val="18"/>
          <w:szCs w:val="18"/>
          <w:lang w:eastAsia="ru-RU"/>
        </w:rPr>
        <w:t xml:space="preserve">его </w:t>
      </w:r>
      <w:r w:rsidR="008E495A" w:rsidRPr="00661CAA">
        <w:rPr>
          <w:rFonts w:ascii="Times New Roman" w:eastAsia="Times New Roman" w:hAnsi="Times New Roman"/>
          <w:bCs/>
          <w:sz w:val="18"/>
          <w:szCs w:val="18"/>
          <w:lang w:eastAsia="ru-RU"/>
        </w:rPr>
        <w:t xml:space="preserve">прав и интересов. Помимо этого, </w:t>
      </w:r>
      <w:r w:rsidRPr="00661CAA">
        <w:rPr>
          <w:rFonts w:ascii="Times New Roman" w:eastAsia="Times New Roman" w:hAnsi="Times New Roman"/>
          <w:bCs/>
          <w:sz w:val="18"/>
          <w:szCs w:val="18"/>
          <w:lang w:eastAsia="ru-RU"/>
        </w:rPr>
        <w:t>Клиент</w:t>
      </w:r>
      <w:r w:rsidR="008E495A" w:rsidRPr="00661CAA">
        <w:rPr>
          <w:rFonts w:ascii="Times New Roman" w:eastAsia="Times New Roman" w:hAnsi="Times New Roman"/>
          <w:bCs/>
          <w:sz w:val="18"/>
          <w:szCs w:val="18"/>
          <w:lang w:eastAsia="ru-RU"/>
        </w:rPr>
        <w:t xml:space="preserve"> вправе обращаться за защитой в судебные и правоохранительные органы.</w:t>
      </w:r>
    </w:p>
    <w:p w:rsidR="00854192" w:rsidRPr="00661CAA" w:rsidRDefault="00854192" w:rsidP="008E495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Процентный риск или риск процентной ставки</w:t>
      </w:r>
      <w:r w:rsidRPr="00661CAA">
        <w:rPr>
          <w:rFonts w:ascii="Times New Roman" w:eastAsia="Times New Roman" w:hAnsi="Times New Roman"/>
          <w:bCs/>
          <w:sz w:val="18"/>
          <w:szCs w:val="18"/>
          <w:lang w:eastAsia="ru-RU"/>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854192" w:rsidRPr="00661CAA" w:rsidRDefault="00854192" w:rsidP="00854192">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упущенной финансовой выгоды</w:t>
      </w:r>
      <w:r w:rsidRPr="00661CAA">
        <w:rPr>
          <w:rFonts w:ascii="Times New Roman" w:eastAsia="Times New Roman" w:hAnsi="Times New Roman"/>
          <w:bCs/>
          <w:sz w:val="18"/>
          <w:szCs w:val="18"/>
          <w:lang w:eastAsia="ru-RU"/>
        </w:rPr>
        <w:t xml:space="preserve"> –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rsidR="00854192" w:rsidRPr="00661CAA" w:rsidRDefault="00854192" w:rsidP="00854192">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проведения электронных операций</w:t>
      </w:r>
      <w:r w:rsidRPr="00661CAA">
        <w:rPr>
          <w:rFonts w:ascii="Times New Roman" w:eastAsia="Times New Roman" w:hAnsi="Times New Roman"/>
          <w:bCs/>
          <w:sz w:val="18"/>
          <w:szCs w:val="18"/>
          <w:lang w:eastAsia="ru-RU"/>
        </w:rPr>
        <w:t xml:space="preserve"> - риск потерь, возникающих в связи с использованием конкретной электронной торговой системы.</w:t>
      </w:r>
    </w:p>
    <w:p w:rsidR="00854192" w:rsidRPr="00661CAA" w:rsidRDefault="00854192" w:rsidP="00854192">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Операции (сделки), производимые через ту или иную электронную торговую систему,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w:t>
      </w:r>
      <w:r w:rsidR="00A702FD" w:rsidRPr="00661CAA">
        <w:rPr>
          <w:rFonts w:ascii="Times New Roman" w:eastAsia="Times New Roman" w:hAnsi="Times New Roman"/>
          <w:bCs/>
          <w:sz w:val="18"/>
          <w:szCs w:val="18"/>
          <w:lang w:eastAsia="ru-RU"/>
        </w:rPr>
        <w:t>Банком</w:t>
      </w:r>
      <w:r w:rsidRPr="00661CAA">
        <w:rPr>
          <w:rFonts w:ascii="Times New Roman" w:eastAsia="Times New Roman" w:hAnsi="Times New Roman"/>
          <w:bCs/>
          <w:sz w:val="18"/>
          <w:szCs w:val="18"/>
          <w:lang w:eastAsia="ru-RU"/>
        </w:rPr>
        <w:t>), но и от операций, производимых через другие электронные торговые системы. В случае осуществления Клиентом  тех или иных сделок через какую-либо электронную торговую систему Клиент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или их невыполнение вообще.</w:t>
      </w:r>
    </w:p>
    <w:p w:rsidR="00854192" w:rsidRPr="00661CAA" w:rsidRDefault="00854192" w:rsidP="00854192">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осуществления электронного документооборота</w:t>
      </w:r>
      <w:r w:rsidRPr="00661CAA">
        <w:rPr>
          <w:rFonts w:ascii="Times New Roman" w:eastAsia="Times New Roman" w:hAnsi="Times New Roman"/>
          <w:bCs/>
          <w:sz w:val="18"/>
          <w:szCs w:val="18"/>
          <w:lang w:eastAsia="ru-RU"/>
        </w:rPr>
        <w:t xml:space="preserve"> - риск, связанный с возможностью потерь при обмене сообщениями между </w:t>
      </w:r>
      <w:r w:rsidR="00A702FD" w:rsidRPr="00661CAA">
        <w:rPr>
          <w:rFonts w:ascii="Times New Roman" w:eastAsia="Times New Roman" w:hAnsi="Times New Roman"/>
          <w:bCs/>
          <w:sz w:val="18"/>
          <w:szCs w:val="18"/>
          <w:lang w:eastAsia="ru-RU"/>
        </w:rPr>
        <w:t>Банком</w:t>
      </w:r>
      <w:r w:rsidRPr="00661CAA">
        <w:rPr>
          <w:rFonts w:ascii="Times New Roman" w:eastAsia="Times New Roman" w:hAnsi="Times New Roman"/>
          <w:bCs/>
          <w:sz w:val="18"/>
          <w:szCs w:val="18"/>
          <w:lang w:eastAsia="ru-RU"/>
        </w:rPr>
        <w:t xml:space="preserve"> и Клиентом посредством электронных файлов с использованием систем электронной почты.</w:t>
      </w:r>
    </w:p>
    <w:p w:rsidR="00854192" w:rsidRPr="00661CAA" w:rsidRDefault="00854192" w:rsidP="00854192">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убытков, связанных с неправомерным использованием третьими лицами полученной информации о Сделках, проводимых Клиентом  операциях и сведений о Клиенте/его активах.</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взимания комиссионных и других сборов</w:t>
      </w:r>
      <w:r w:rsidRPr="00661CAA">
        <w:rPr>
          <w:rFonts w:ascii="Times New Roman" w:eastAsia="Times New Roman" w:hAnsi="Times New Roman"/>
          <w:bCs/>
          <w:sz w:val="18"/>
          <w:szCs w:val="18"/>
          <w:lang w:eastAsia="ru-RU"/>
        </w:rPr>
        <w:t xml:space="preserve"> - риск финан</w:t>
      </w:r>
      <w:r w:rsidR="00B54FA4" w:rsidRPr="00661CAA">
        <w:rPr>
          <w:rFonts w:ascii="Times New Roman" w:eastAsia="Times New Roman" w:hAnsi="Times New Roman"/>
          <w:bCs/>
          <w:sz w:val="18"/>
          <w:szCs w:val="18"/>
          <w:lang w:eastAsia="ru-RU"/>
        </w:rPr>
        <w:t>совых потерь со стороны Клиента</w:t>
      </w:r>
      <w:r w:rsidRPr="00661CAA">
        <w:rPr>
          <w:rFonts w:ascii="Times New Roman" w:eastAsia="Times New Roman" w:hAnsi="Times New Roman"/>
          <w:bCs/>
          <w:sz w:val="18"/>
          <w:szCs w:val="18"/>
          <w:lang w:eastAsia="ru-RU"/>
        </w:rPr>
        <w:t xml:space="preserve">, связанный с полной или частичной неосведомленностью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об издержках, связанных с осуществлением операций с Инструментами финансового рынка.</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недостижения инвестиционных целей</w:t>
      </w:r>
      <w:r w:rsidRPr="00661CAA">
        <w:rPr>
          <w:rFonts w:ascii="Times New Roman" w:eastAsia="Times New Roman" w:hAnsi="Times New Roman"/>
          <w:bCs/>
          <w:sz w:val="18"/>
          <w:szCs w:val="18"/>
          <w:lang w:eastAsia="ru-RU"/>
        </w:rPr>
        <w:t xml:space="preserve"> - риск потерь, возникающих в связи с недостижением Клиентом своих инвестиционных целей.</w:t>
      </w:r>
    </w:p>
    <w:p w:rsidR="00854192"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Риски, связанные с действиями/бездействием третьих лиц</w:t>
      </w:r>
      <w:r w:rsidRPr="00661CAA">
        <w:rPr>
          <w:rFonts w:ascii="Times New Roman" w:eastAsia="Times New Roman" w:hAnsi="Times New Roman"/>
          <w:bCs/>
          <w:sz w:val="18"/>
          <w:szCs w:val="18"/>
          <w:lang w:eastAsia="ru-RU"/>
        </w:rPr>
        <w:t xml:space="preserve"> -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FB40CD" w:rsidRPr="00661CAA">
        <w:rPr>
          <w:rFonts w:ascii="Times New Roman" w:eastAsia="Times New Roman" w:hAnsi="Times New Roman"/>
          <w:bCs/>
          <w:sz w:val="18"/>
          <w:szCs w:val="18"/>
          <w:lang w:eastAsia="ru-RU"/>
        </w:rPr>
        <w:t>Банку</w:t>
      </w:r>
      <w:r w:rsidRPr="00661CAA">
        <w:rPr>
          <w:rFonts w:ascii="Times New Roman" w:eastAsia="Times New Roman" w:hAnsi="Times New Roman"/>
          <w:bCs/>
          <w:sz w:val="18"/>
          <w:szCs w:val="18"/>
          <w:lang w:eastAsia="ru-RU"/>
        </w:rPr>
        <w:t>,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совершения Сделок, приводящих к непокрытой позиции</w:t>
      </w:r>
      <w:r w:rsidRPr="00661CAA">
        <w:rPr>
          <w:rFonts w:ascii="Times New Roman" w:eastAsia="Times New Roman" w:hAnsi="Times New Roman"/>
          <w:bCs/>
          <w:sz w:val="18"/>
          <w:szCs w:val="18"/>
          <w:lang w:eastAsia="ru-RU"/>
        </w:rPr>
        <w:t xml:space="preserve"> -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 xml:space="preserve">и при неблагоприятном для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 xml:space="preserve">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w:t>
      </w:r>
      <w:r w:rsidR="00FB40CD"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xml:space="preserve">. Также при совершении Клиентом Сделок, приводящих к непокрытой позиции, у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возникают следующие дополнительные виды рисков:</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Риск неисполнения или частичного исполнения Поручения на совершение Сделок, приводящих к непокрытой позиции по усмотрению </w:t>
      </w:r>
      <w:r w:rsidR="00EC7B5B" w:rsidRPr="00661CAA">
        <w:rPr>
          <w:rFonts w:ascii="Times New Roman" w:eastAsia="Times New Roman" w:hAnsi="Times New Roman"/>
          <w:bCs/>
          <w:sz w:val="18"/>
          <w:szCs w:val="18"/>
          <w:lang w:eastAsia="ru-RU"/>
        </w:rPr>
        <w:t>Банка</w:t>
      </w:r>
      <w:r w:rsidRPr="00661CAA">
        <w:rPr>
          <w:rFonts w:ascii="Times New Roman" w:eastAsia="Times New Roman" w:hAnsi="Times New Roman"/>
          <w:bCs/>
          <w:sz w:val="18"/>
          <w:szCs w:val="18"/>
          <w:lang w:eastAsia="ru-RU"/>
        </w:rPr>
        <w:t>.</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Совершая Сделку, приводящую к непокрытой позиции, Клиент несет риск увеличения цен на ценные бумаги, переданные Клиенту. Клиент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rsidR="00854192"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Совершая Сделку, приводящую к непокрытой позиции, Клиент несет ценовой риск как по активам, приобретенным на собственные средства, так и по активам, являющимся обеспечением обязательств Клиента перед </w:t>
      </w:r>
      <w:r w:rsidR="00A702FD" w:rsidRPr="00661CAA">
        <w:rPr>
          <w:rFonts w:ascii="Times New Roman" w:eastAsia="Times New Roman" w:hAnsi="Times New Roman"/>
          <w:bCs/>
          <w:sz w:val="18"/>
          <w:szCs w:val="18"/>
          <w:lang w:eastAsia="ru-RU"/>
        </w:rPr>
        <w:t>Банком</w:t>
      </w:r>
      <w:r w:rsidRPr="00661CAA">
        <w:rPr>
          <w:rFonts w:ascii="Times New Roman" w:eastAsia="Times New Roman" w:hAnsi="Times New Roman"/>
          <w:bCs/>
          <w:sz w:val="18"/>
          <w:szCs w:val="18"/>
          <w:lang w:eastAsia="ru-RU"/>
        </w:rPr>
        <w:t xml:space="preserve">.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w:t>
      </w:r>
      <w:r w:rsidR="00FB40CD"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Клиент обязуется поддерживать достаточный уровень обеспечения своих обязательств перед </w:t>
      </w:r>
      <w:r w:rsidR="00A702FD" w:rsidRPr="00661CAA">
        <w:rPr>
          <w:rFonts w:ascii="Times New Roman" w:eastAsia="Times New Roman" w:hAnsi="Times New Roman"/>
          <w:bCs/>
          <w:sz w:val="18"/>
          <w:szCs w:val="18"/>
          <w:lang w:eastAsia="ru-RU"/>
        </w:rPr>
        <w:t>Банком</w:t>
      </w:r>
      <w:r w:rsidRPr="00661CAA">
        <w:rPr>
          <w:rFonts w:ascii="Times New Roman" w:eastAsia="Times New Roman" w:hAnsi="Times New Roman"/>
          <w:bCs/>
          <w:sz w:val="18"/>
          <w:szCs w:val="18"/>
          <w:lang w:eastAsia="ru-RU"/>
        </w:rPr>
        <w:t>,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При неблагоприятном для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 xml:space="preserve">движении цен для поддержания Уровня маржи в случаях, предусмотренных внутренними документами </w:t>
      </w:r>
      <w:r w:rsidR="009B0728" w:rsidRPr="00661CAA">
        <w:rPr>
          <w:rFonts w:ascii="Times New Roman" w:eastAsia="Times New Roman" w:hAnsi="Times New Roman"/>
          <w:bCs/>
          <w:sz w:val="18"/>
          <w:szCs w:val="18"/>
          <w:lang w:eastAsia="ru-RU"/>
        </w:rPr>
        <w:t>Банка</w:t>
      </w:r>
      <w:r w:rsidRPr="00661CAA">
        <w:rPr>
          <w:rFonts w:ascii="Times New Roman" w:eastAsia="Times New Roman" w:hAnsi="Times New Roman"/>
          <w:bCs/>
          <w:sz w:val="18"/>
          <w:szCs w:val="18"/>
          <w:lang w:eastAsia="ru-RU"/>
        </w:rPr>
        <w:t xml:space="preserve">, Позиция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совершения операций на Срочном рынке</w:t>
      </w:r>
      <w:r w:rsidRPr="00661CAA">
        <w:rPr>
          <w:rFonts w:ascii="Times New Roman" w:eastAsia="Times New Roman" w:hAnsi="Times New Roman"/>
          <w:bCs/>
          <w:sz w:val="18"/>
          <w:szCs w:val="18"/>
          <w:lang w:eastAsia="ru-RU"/>
        </w:rPr>
        <w:t xml:space="preserve"> - риск, связанный с возможностью потерь при совершении сделок с инструментами Срочного рынка (фьючерсы и опционы).</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При совершении сделок на срочном рынке Клиент должен иметь в виду следующее:</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Расчетные и Клиринговые Палаты Торговых систем производят ежедневное исчисление вариационной маржи в соответствии с котировальными ценами, устанавливаемыми по итогам торгов. В связи с этим, Клиент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 xml:space="preserve">от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 xml:space="preserve">может потребоваться внести средства на покрытие потерь по вариационной марже значительного размера и в короткий срок. Если Клиент не сможет внести эти дополнительные средства в установленный срок, позиция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может быть принудительно закрыта с убытком, и Клиент будет ответственным за любой образовавшийся в результате этого дефицит средств.</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При определенных сложившихся на рынке условиях может стать затруднительным или невозможным закрытие открытой позиции </w:t>
      </w:r>
      <w:r w:rsidR="00FB40CD"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Это может произойти, например, когда в силу быстрого движения цен торги будут приостановлены или ограничены.</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Поручения, направленные на ограничение убытка </w:t>
      </w:r>
      <w:r w:rsidR="00FB40CD"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xml:space="preserve">, необязательно ограничат убытки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до предполагаемого уровня, так как в сложившейся на рынке ситуации может оказаться невозможным исполнить такое Поручение по оговоренной цене.</w:t>
      </w:r>
    </w:p>
    <w:p w:rsidR="001F3EEE" w:rsidRPr="00661CAA" w:rsidRDefault="001F3EEE"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Настоящим </w:t>
      </w:r>
      <w:r w:rsidR="00DF4588"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rsidR="001F3EEE" w:rsidRPr="00661CAA" w:rsidRDefault="00D46BCD" w:rsidP="001F3EEE">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w:t>
      </w:r>
      <w:r w:rsidR="001F3EEE" w:rsidRPr="00661CAA">
        <w:rPr>
          <w:rFonts w:ascii="Times New Roman" w:eastAsia="Times New Roman" w:hAnsi="Times New Roman"/>
          <w:bCs/>
          <w:sz w:val="18"/>
          <w:szCs w:val="18"/>
          <w:lang w:eastAsia="ru-RU"/>
        </w:rPr>
        <w:t xml:space="preserve"> Торговая система имеет право принудительно закрыть позиции участников и их Клиентов, приостановить или ограничить торги;</w:t>
      </w:r>
    </w:p>
    <w:p w:rsidR="001F3EEE" w:rsidRPr="00661CAA" w:rsidRDefault="00D46BCD" w:rsidP="00B54FA4">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w:t>
      </w:r>
      <w:r w:rsidR="001F3EEE" w:rsidRPr="00661CAA">
        <w:rPr>
          <w:rFonts w:ascii="Times New Roman" w:eastAsia="Times New Roman" w:hAnsi="Times New Roman"/>
          <w:bCs/>
          <w:sz w:val="18"/>
          <w:szCs w:val="18"/>
          <w:lang w:eastAsia="ru-RU"/>
        </w:rPr>
        <w:t xml:space="preserve"> </w:t>
      </w:r>
      <w:r w:rsidR="00DF4588" w:rsidRPr="00661CAA">
        <w:rPr>
          <w:rFonts w:ascii="Times New Roman" w:eastAsia="Times New Roman" w:hAnsi="Times New Roman"/>
          <w:bCs/>
          <w:sz w:val="18"/>
          <w:szCs w:val="18"/>
          <w:lang w:eastAsia="ru-RU"/>
        </w:rPr>
        <w:t>Банк</w:t>
      </w:r>
      <w:r w:rsidR="001F3EEE" w:rsidRPr="00661CAA">
        <w:rPr>
          <w:rFonts w:ascii="Times New Roman" w:eastAsia="Times New Roman" w:hAnsi="Times New Roman"/>
          <w:bCs/>
          <w:sz w:val="18"/>
          <w:szCs w:val="18"/>
          <w:lang w:eastAsia="ru-RU"/>
        </w:rPr>
        <w:t xml:space="preserve"> имеет право принудительно закрыть позиции Клиента и его клиентов;</w:t>
      </w:r>
    </w:p>
    <w:p w:rsidR="001F3EEE" w:rsidRPr="00661CAA" w:rsidRDefault="00D46BCD" w:rsidP="00B54FA4">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w:t>
      </w:r>
      <w:r w:rsidR="001F3EEE" w:rsidRPr="00661CAA">
        <w:rPr>
          <w:rFonts w:ascii="Times New Roman" w:eastAsia="Times New Roman" w:hAnsi="Times New Roman"/>
          <w:bCs/>
          <w:sz w:val="18"/>
          <w:szCs w:val="18"/>
          <w:lang w:eastAsia="ru-RU"/>
        </w:rPr>
        <w:t xml:space="preserve"> </w:t>
      </w:r>
      <w:r w:rsidR="00DF4588" w:rsidRPr="00661CAA">
        <w:rPr>
          <w:rFonts w:ascii="Times New Roman" w:eastAsia="Times New Roman" w:hAnsi="Times New Roman"/>
          <w:bCs/>
          <w:sz w:val="18"/>
          <w:szCs w:val="18"/>
          <w:lang w:eastAsia="ru-RU"/>
        </w:rPr>
        <w:t>Банк</w:t>
      </w:r>
      <w:r w:rsidR="001F3EEE" w:rsidRPr="00661CAA">
        <w:rPr>
          <w:rFonts w:ascii="Times New Roman" w:eastAsia="Times New Roman" w:hAnsi="Times New Roman"/>
          <w:bCs/>
          <w:sz w:val="18"/>
          <w:szCs w:val="18"/>
          <w:lang w:eastAsia="ru-RU"/>
        </w:rPr>
        <w:t xml:space="preserve"> имеет право дать Поручение Торговой системе на принудительное закрытие позиций своих Клиентов.</w:t>
      </w:r>
    </w:p>
    <w:p w:rsidR="001F3EEE" w:rsidRPr="00661CAA" w:rsidRDefault="001F3EEE" w:rsidP="00B54FA4">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При этом Клиент может недополучить прибыль, либо понести убытки. В этом случае </w:t>
      </w:r>
      <w:r w:rsidR="00DF4588"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 не компенсирует Клиенту недополученную прибыль, либо убыток.</w:t>
      </w:r>
    </w:p>
    <w:p w:rsidR="00530940" w:rsidRPr="00661CAA" w:rsidRDefault="001F3EEE" w:rsidP="00B54FA4">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Настоящим </w:t>
      </w:r>
      <w:r w:rsidR="00DF4588"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rsidR="002334FB" w:rsidRPr="00661CAA" w:rsidRDefault="002334FB" w:rsidP="00034B60">
      <w:pPr>
        <w:pStyle w:val="a3"/>
        <w:widowControl w:val="0"/>
        <w:numPr>
          <w:ilvl w:val="0"/>
          <w:numId w:val="10"/>
        </w:numPr>
        <w:autoSpaceDE w:val="0"/>
        <w:autoSpaceDN w:val="0"/>
        <w:spacing w:before="240" w:after="120" w:line="240" w:lineRule="auto"/>
        <w:jc w:val="center"/>
        <w:rPr>
          <w:rFonts w:ascii="Times New Roman" w:eastAsia="Times New Roman" w:hAnsi="Times New Roman"/>
          <w:b/>
          <w:bCs/>
          <w:sz w:val="18"/>
          <w:szCs w:val="18"/>
          <w:lang w:eastAsia="ru-RU"/>
        </w:rPr>
      </w:pPr>
      <w:r w:rsidRPr="00661CAA">
        <w:rPr>
          <w:rFonts w:ascii="Times New Roman" w:eastAsia="Times New Roman" w:hAnsi="Times New Roman"/>
          <w:b/>
          <w:bCs/>
          <w:sz w:val="18"/>
          <w:szCs w:val="18"/>
          <w:lang w:eastAsia="ru-RU"/>
        </w:rPr>
        <w:t>Риски, связанные с производными финансовыми инструментами</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Производные финансовые инструменты (фьючерсы, форварды, опционы, свопы и др.) подходят не всем Клиентам. Более того, некоторые виды производных финансовых инструментов сопряжены с бо́льшим уровнем риска, чем другие. Так, продажа опционных контрактов и заключение фьючерсных контрактов, форвардных контрактов и своп-контрактов при относительно небольших неблагоприятных колебаниях цен на рынке может подвергнуть Клиента риску значительных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2334FB" w:rsidRPr="00661CAA" w:rsidRDefault="002334FB" w:rsidP="00AF2394">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Настоящая декларация относится также и к производным финансовым инструментам, направленным на снижение рисков других операций на фондовом рынке. Клиент должен внимательно оценить, как его производные финансовые инструменты соотносятся с операциями, риски по которым они призваны ограничить, и убедиться, что объем позиции на срочном рынке соответствует объему хеджируемой позиции на спот-рынке.</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Рыночный риск -</w:t>
      </w:r>
      <w:r w:rsidRPr="00661CAA">
        <w:rPr>
          <w:sz w:val="18"/>
          <w:szCs w:val="18"/>
        </w:rPr>
        <w:t xml:space="preserve"> </w:t>
      </w:r>
      <w:r w:rsidRPr="00661CAA">
        <w:rPr>
          <w:rFonts w:ascii="Times New Roman" w:eastAsia="Times New Roman" w:hAnsi="Times New Roman"/>
          <w:bCs/>
          <w:sz w:val="18"/>
          <w:szCs w:val="18"/>
          <w:lang w:eastAsia="ru-RU"/>
        </w:rPr>
        <w:t>помимо общего рыночного (ценового) риска, который несет Клиент, совершающий операции на рынке ценных бумаг, он в случае заключения договоров, являющихся производными финансовыми инструментами, будет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В случае неблагоприятного изменения цены Клиент может в сравнительно короткий срок потерять средства, являющиеся обеспечением производных финансовых инструментов.</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При заключении договоров, являющихся производными финансовыми инструментами, Клиент должен учитывать, что возможность распоряжения активами, являющимися обеспечением по таким договорам, ограничена.</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Имущество (часть имущества), принадлежащее Клиенту, в результате заключения договора, являющегося производным финансовым инструментом, будет являться обеспечением исполнения обязательств по указанному договору и распоряжение им, то есть возможность совершения сделок с ним, будет ограничено. Размер обеспечения изменяется в порядке, предусмотренном договором (спецификацией контракта), и в результате могут возникнуть ограничения в возможности распоряжаться имуществом Клиента в большей степени, чем до заключения договора.</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Клиента.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 в этом случае вправе без дополнительного согласия Клиента «принудительно закрыть позицию», то есть заключить договор, являющийся производным финансовым инструментом, или приобрести ценные бумаги за счет денежных средств Клиента, или продать его ценные бумаги. Это может быть сделано по существующим, в том числе невыгодным, ценам и привести к возникновению убытков у Клиента.</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Клиент может понести значительные убытки, несмотря на то, что после этого изменение цен на финансовые инструменты может принять благоприятное для Клиента направление и он получили бы доход, если бы его позиция не была закрыта. Размер указанных убытков при неблагоприятном стечении обстоятельств может превысить стоимость находящихся на его счету активов. </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ликвидности -</w:t>
      </w:r>
      <w:r w:rsidRPr="00661CAA">
        <w:rPr>
          <w:rFonts w:ascii="Times New Roman" w:eastAsia="Times New Roman" w:hAnsi="Times New Roman"/>
          <w:bCs/>
          <w:sz w:val="18"/>
          <w:szCs w:val="18"/>
          <w:lang w:eastAsia="ru-RU"/>
        </w:rPr>
        <w:t xml:space="preserve"> трудности с закрытием позиций и потери в цене могут привести к увеличению убытков от производных финансовых инструментов по сравнению с обычными сделками. </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Если инвестиционная стратегия Клиента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необходимо обращать внимание на ликвидность соответствующих контрактов, так как закрытие позиций по неликвидным контрактам может привести к значительным убыткам. Обращаем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Если заключенный Клиентом договор, являющийся производным финансовым инструментом, неликвиден, и у него возникла необходимость закрыть позицию, необходимо обязательно рассмотреть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Поручения Клиента,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им цене может оказаться невозможным.</w:t>
      </w:r>
    </w:p>
    <w:p w:rsidR="002334FB" w:rsidRPr="00661CAA" w:rsidRDefault="002334FB" w:rsidP="002334FB">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Операции с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влекут также риски, связанные с иностранным происхождением базисного актива.</w:t>
      </w:r>
    </w:p>
    <w:p w:rsidR="00381CE7" w:rsidRPr="00661CAA" w:rsidRDefault="00381CE7" w:rsidP="00034B60">
      <w:pPr>
        <w:pStyle w:val="a3"/>
        <w:widowControl w:val="0"/>
        <w:numPr>
          <w:ilvl w:val="0"/>
          <w:numId w:val="10"/>
        </w:numPr>
        <w:autoSpaceDE w:val="0"/>
        <w:autoSpaceDN w:val="0"/>
        <w:spacing w:before="240" w:after="120" w:line="240" w:lineRule="auto"/>
        <w:ind w:left="567" w:hanging="567"/>
        <w:contextualSpacing w:val="0"/>
        <w:jc w:val="center"/>
        <w:rPr>
          <w:rFonts w:ascii="Times New Roman" w:eastAsia="Times New Roman" w:hAnsi="Times New Roman"/>
          <w:b/>
          <w:bCs/>
          <w:sz w:val="18"/>
          <w:szCs w:val="18"/>
          <w:lang w:eastAsia="ru-RU"/>
        </w:rPr>
      </w:pPr>
      <w:r w:rsidRPr="00661CAA">
        <w:rPr>
          <w:rFonts w:ascii="Times New Roman" w:eastAsia="Times New Roman" w:hAnsi="Times New Roman"/>
          <w:b/>
          <w:bCs/>
          <w:sz w:val="18"/>
          <w:szCs w:val="18"/>
          <w:lang w:eastAsia="ru-RU"/>
        </w:rPr>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w:t>
      </w:r>
      <w:r w:rsidR="002D1B7B" w:rsidRPr="00661CAA">
        <w:rPr>
          <w:rFonts w:ascii="Times New Roman" w:eastAsia="Times New Roman" w:hAnsi="Times New Roman"/>
          <w:b/>
          <w:bCs/>
          <w:sz w:val="18"/>
          <w:szCs w:val="18"/>
          <w:lang w:eastAsia="ru-RU"/>
        </w:rPr>
        <w:t>ным бумагам</w:t>
      </w:r>
    </w:p>
    <w:p w:rsidR="00381CE7" w:rsidRPr="00661CAA" w:rsidRDefault="00381CE7" w:rsidP="00381CE7">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Далее представлена общая информация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rsidR="00381CE7" w:rsidRPr="00661CAA" w:rsidRDefault="00381CE7" w:rsidP="00381CE7">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Риски, связанные с производными финансовыми инструментами</w:t>
      </w:r>
    </w:p>
    <w:p w:rsidR="00E951CA" w:rsidRPr="00661CAA" w:rsidRDefault="00381CE7"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w:t>
      </w:r>
      <w:r w:rsidR="00DF4588"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не превысят величину</w:t>
      </w:r>
      <w:r w:rsidR="00E951CA" w:rsidRPr="00661CAA">
        <w:rPr>
          <w:rFonts w:ascii="Times New Roman" w:hAnsi="Times New Roman"/>
          <w:sz w:val="18"/>
          <w:szCs w:val="18"/>
        </w:rPr>
        <w:t xml:space="preserve"> </w:t>
      </w:r>
      <w:r w:rsidR="00E951CA" w:rsidRPr="00661CAA">
        <w:rPr>
          <w:rFonts w:ascii="Times New Roman" w:eastAsia="Times New Roman" w:hAnsi="Times New Roman"/>
          <w:bCs/>
          <w:sz w:val="18"/>
          <w:szCs w:val="18"/>
          <w:lang w:eastAsia="ru-RU"/>
        </w:rPr>
        <w:t>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381CE7" w:rsidRPr="00661CAA" w:rsidRDefault="00E951CA"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 </w:t>
      </w:r>
    </w:p>
    <w:p w:rsidR="00E951CA" w:rsidRPr="00661CAA" w:rsidRDefault="00E951CA"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Рыночный (ценовой) риск</w:t>
      </w:r>
      <w:r w:rsidR="00995F1A" w:rsidRPr="00661CAA">
        <w:rPr>
          <w:rFonts w:ascii="Times New Roman" w:eastAsia="Times New Roman" w:hAnsi="Times New Roman"/>
          <w:b/>
          <w:bCs/>
          <w:sz w:val="18"/>
          <w:szCs w:val="18"/>
          <w:lang w:eastAsia="ru-RU"/>
        </w:rPr>
        <w:t xml:space="preserve"> - </w:t>
      </w:r>
      <w:r w:rsidR="00995F1A" w:rsidRPr="00661CAA">
        <w:rPr>
          <w:rFonts w:ascii="Times New Roman" w:eastAsia="Times New Roman" w:hAnsi="Times New Roman"/>
          <w:bCs/>
          <w:sz w:val="18"/>
          <w:szCs w:val="18"/>
          <w:lang w:eastAsia="ru-RU"/>
        </w:rPr>
        <w:t>п</w:t>
      </w:r>
      <w:r w:rsidRPr="00661CAA">
        <w:rPr>
          <w:rFonts w:ascii="Times New Roman" w:eastAsia="Times New Roman" w:hAnsi="Times New Roman"/>
          <w:bCs/>
          <w:sz w:val="18"/>
          <w:szCs w:val="18"/>
          <w:lang w:eastAsia="ru-RU"/>
        </w:rPr>
        <w:t>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E951CA" w:rsidRPr="00661CAA" w:rsidRDefault="00E951CA"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w:t>
      </w:r>
    </w:p>
    <w:p w:rsidR="00E951CA" w:rsidRPr="00661CAA" w:rsidRDefault="00E951CA"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ликвидности</w:t>
      </w:r>
      <w:r w:rsidR="00995F1A" w:rsidRPr="00661CAA">
        <w:rPr>
          <w:rFonts w:ascii="Times New Roman" w:eastAsia="Times New Roman" w:hAnsi="Times New Roman"/>
          <w:b/>
          <w:bCs/>
          <w:sz w:val="18"/>
          <w:szCs w:val="18"/>
          <w:lang w:eastAsia="ru-RU"/>
        </w:rPr>
        <w:t xml:space="preserve"> - е</w:t>
      </w:r>
      <w:r w:rsidRPr="00661CAA">
        <w:rPr>
          <w:rFonts w:ascii="Times New Roman" w:eastAsia="Times New Roman" w:hAnsi="Times New Roman"/>
          <w:bCs/>
          <w:sz w:val="18"/>
          <w:szCs w:val="18"/>
          <w:lang w:eastAsia="ru-RU"/>
        </w:rPr>
        <w:t>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E951CA" w:rsidRPr="00661CAA" w:rsidRDefault="00E951CA"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E951CA" w:rsidRPr="00661CAA" w:rsidRDefault="00E951CA"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При этом трудности с закрытием позиций и потери в цене могут привести к увеличению убытков по сравнению с обычными сделками.</w:t>
      </w:r>
    </w:p>
    <w:p w:rsidR="00381CE7" w:rsidRPr="00661CAA" w:rsidRDefault="00E951CA"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rsidR="00E951CA" w:rsidRPr="00661CAA" w:rsidRDefault="00E951CA"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Ограничение распоряжения средствами, являющимися обеспечением</w:t>
      </w:r>
      <w:r w:rsidR="0016135D" w:rsidRPr="00661CAA">
        <w:rPr>
          <w:rFonts w:ascii="Times New Roman" w:eastAsia="Times New Roman" w:hAnsi="Times New Roman"/>
          <w:b/>
          <w:bCs/>
          <w:sz w:val="18"/>
          <w:szCs w:val="18"/>
          <w:lang w:eastAsia="ru-RU"/>
        </w:rPr>
        <w:t xml:space="preserve"> - </w:t>
      </w:r>
      <w:r w:rsidR="0016135D" w:rsidRPr="00661CAA">
        <w:rPr>
          <w:rFonts w:ascii="Times New Roman" w:eastAsia="Times New Roman" w:hAnsi="Times New Roman"/>
          <w:bCs/>
          <w:sz w:val="18"/>
          <w:szCs w:val="18"/>
          <w:lang w:eastAsia="ru-RU"/>
        </w:rPr>
        <w:t>и</w:t>
      </w:r>
      <w:r w:rsidRPr="00661CAA">
        <w:rPr>
          <w:rFonts w:ascii="Times New Roman" w:eastAsia="Times New Roman" w:hAnsi="Times New Roman"/>
          <w:bCs/>
          <w:sz w:val="18"/>
          <w:szCs w:val="18"/>
          <w:lang w:eastAsia="ru-RU"/>
        </w:rPr>
        <w:t>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rsidR="00E951CA" w:rsidRPr="00661CAA" w:rsidRDefault="00E951CA"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принудительного закрытия позиции</w:t>
      </w:r>
      <w:r w:rsidR="0016135D" w:rsidRPr="00661CAA">
        <w:rPr>
          <w:rFonts w:ascii="Times New Roman" w:eastAsia="Times New Roman" w:hAnsi="Times New Roman"/>
          <w:b/>
          <w:bCs/>
          <w:sz w:val="18"/>
          <w:szCs w:val="18"/>
          <w:lang w:eastAsia="ru-RU"/>
        </w:rPr>
        <w:t xml:space="preserve"> - </w:t>
      </w:r>
      <w:r w:rsidR="0016135D" w:rsidRPr="00661CAA">
        <w:rPr>
          <w:rFonts w:ascii="Times New Roman" w:eastAsia="Times New Roman" w:hAnsi="Times New Roman"/>
          <w:bCs/>
          <w:sz w:val="18"/>
          <w:szCs w:val="18"/>
          <w:lang w:eastAsia="ru-RU"/>
        </w:rPr>
        <w:t>н</w:t>
      </w:r>
      <w:r w:rsidRPr="00661CAA">
        <w:rPr>
          <w:rFonts w:ascii="Times New Roman" w:eastAsia="Times New Roman" w:hAnsi="Times New Roman"/>
          <w:bCs/>
          <w:sz w:val="18"/>
          <w:szCs w:val="18"/>
          <w:lang w:eastAsia="ru-RU"/>
        </w:rPr>
        <w:t>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брокер (</w:t>
      </w:r>
      <w:r w:rsidR="00DF4588"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381CE7" w:rsidRPr="00661CAA" w:rsidRDefault="00E951CA" w:rsidP="00E951CA">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w:t>
      </w:r>
    </w:p>
    <w:p w:rsidR="00184606" w:rsidRPr="00661CAA" w:rsidRDefault="00184606" w:rsidP="00184606">
      <w:pPr>
        <w:widowControl w:val="0"/>
        <w:autoSpaceDE w:val="0"/>
        <w:autoSpaceDN w:val="0"/>
        <w:spacing w:after="0" w:line="240" w:lineRule="auto"/>
        <w:ind w:firstLine="600"/>
        <w:jc w:val="both"/>
        <w:rPr>
          <w:rFonts w:ascii="Times New Roman" w:eastAsia="Times New Roman" w:hAnsi="Times New Roman"/>
          <w:b/>
          <w:bCs/>
          <w:sz w:val="18"/>
          <w:szCs w:val="18"/>
          <w:lang w:eastAsia="ru-RU"/>
        </w:rPr>
      </w:pPr>
      <w:r w:rsidRPr="00661CAA">
        <w:rPr>
          <w:rFonts w:ascii="Times New Roman" w:eastAsia="Times New Roman" w:hAnsi="Times New Roman"/>
          <w:b/>
          <w:bCs/>
          <w:sz w:val="18"/>
          <w:szCs w:val="18"/>
          <w:lang w:eastAsia="ru-RU"/>
        </w:rPr>
        <w:t>Риски, обусловленные иностранным происхождением базисного актива</w:t>
      </w:r>
      <w:r w:rsidR="0016135D" w:rsidRPr="00661CAA">
        <w:rPr>
          <w:rFonts w:ascii="Times New Roman" w:eastAsia="Times New Roman" w:hAnsi="Times New Roman"/>
          <w:b/>
          <w:bCs/>
          <w:sz w:val="18"/>
          <w:szCs w:val="18"/>
          <w:lang w:eastAsia="ru-RU"/>
        </w:rPr>
        <w:t>:</w:t>
      </w:r>
    </w:p>
    <w:p w:rsidR="00184606" w:rsidRPr="00661CAA" w:rsidRDefault="0016135D" w:rsidP="00083099">
      <w:pPr>
        <w:pStyle w:val="a3"/>
        <w:widowControl w:val="0"/>
        <w:numPr>
          <w:ilvl w:val="0"/>
          <w:numId w:val="8"/>
        </w:numPr>
        <w:autoSpaceDE w:val="0"/>
        <w:autoSpaceDN w:val="0"/>
        <w:spacing w:after="0" w:line="240" w:lineRule="auto"/>
        <w:ind w:left="851" w:hanging="284"/>
        <w:jc w:val="both"/>
        <w:rPr>
          <w:rFonts w:ascii="Times New Roman" w:eastAsia="Times New Roman" w:hAnsi="Times New Roman"/>
          <w:bCs/>
          <w:sz w:val="18"/>
          <w:szCs w:val="18"/>
          <w:lang w:eastAsia="ru-RU"/>
        </w:rPr>
      </w:pPr>
      <w:r w:rsidRPr="00661CAA">
        <w:rPr>
          <w:rFonts w:ascii="Times New Roman" w:eastAsia="Times New Roman" w:hAnsi="Times New Roman"/>
          <w:b/>
          <w:bCs/>
          <w:i/>
          <w:sz w:val="18"/>
          <w:szCs w:val="18"/>
          <w:lang w:eastAsia="ru-RU"/>
        </w:rPr>
        <w:t>с</w:t>
      </w:r>
      <w:r w:rsidR="00184606" w:rsidRPr="00661CAA">
        <w:rPr>
          <w:rFonts w:ascii="Times New Roman" w:eastAsia="Times New Roman" w:hAnsi="Times New Roman"/>
          <w:b/>
          <w:bCs/>
          <w:i/>
          <w:sz w:val="18"/>
          <w:szCs w:val="18"/>
          <w:lang w:eastAsia="ru-RU"/>
        </w:rPr>
        <w:t>истемные риски</w:t>
      </w:r>
      <w:r w:rsidRPr="00661CAA">
        <w:rPr>
          <w:rFonts w:ascii="Times New Roman" w:eastAsia="Times New Roman" w:hAnsi="Times New Roman"/>
          <w:b/>
          <w:bCs/>
          <w:i/>
          <w:sz w:val="18"/>
          <w:szCs w:val="18"/>
          <w:lang w:eastAsia="ru-RU"/>
        </w:rPr>
        <w:t>:</w:t>
      </w:r>
      <w:r w:rsidRPr="00661CAA">
        <w:rPr>
          <w:rFonts w:ascii="Times New Roman" w:eastAsia="Times New Roman" w:hAnsi="Times New Roman"/>
          <w:b/>
          <w:bCs/>
          <w:sz w:val="18"/>
          <w:szCs w:val="18"/>
          <w:lang w:eastAsia="ru-RU"/>
        </w:rPr>
        <w:t xml:space="preserve"> </w:t>
      </w:r>
      <w:r w:rsidRPr="00661CAA">
        <w:rPr>
          <w:rFonts w:ascii="Times New Roman" w:eastAsia="Times New Roman" w:hAnsi="Times New Roman"/>
          <w:bCs/>
          <w:sz w:val="18"/>
          <w:szCs w:val="18"/>
          <w:lang w:eastAsia="ru-RU"/>
        </w:rPr>
        <w:t>п</w:t>
      </w:r>
      <w:r w:rsidR="00184606" w:rsidRPr="00661CAA">
        <w:rPr>
          <w:rFonts w:ascii="Times New Roman" w:eastAsia="Times New Roman" w:hAnsi="Times New Roman"/>
          <w:bCs/>
          <w:sz w:val="18"/>
          <w:szCs w:val="18"/>
          <w:lang w:eastAsia="ru-RU"/>
        </w:rPr>
        <w:t>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rsidR="00184606" w:rsidRPr="00661CAA" w:rsidRDefault="00184606" w:rsidP="00083099">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E951CA" w:rsidRPr="00661CAA" w:rsidRDefault="00184606" w:rsidP="00083099">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rsidR="00184606" w:rsidRPr="00661CAA" w:rsidRDefault="0016135D" w:rsidP="00083099">
      <w:pPr>
        <w:pStyle w:val="a3"/>
        <w:widowControl w:val="0"/>
        <w:numPr>
          <w:ilvl w:val="0"/>
          <w:numId w:val="8"/>
        </w:numPr>
        <w:autoSpaceDE w:val="0"/>
        <w:autoSpaceDN w:val="0"/>
        <w:spacing w:after="0" w:line="240" w:lineRule="auto"/>
        <w:ind w:left="851" w:hanging="284"/>
        <w:jc w:val="both"/>
        <w:rPr>
          <w:rFonts w:ascii="Times New Roman" w:eastAsia="Times New Roman" w:hAnsi="Times New Roman"/>
          <w:bCs/>
          <w:sz w:val="18"/>
          <w:szCs w:val="18"/>
          <w:lang w:eastAsia="ru-RU"/>
        </w:rPr>
      </w:pPr>
      <w:r w:rsidRPr="00661CAA">
        <w:rPr>
          <w:rFonts w:ascii="Times New Roman" w:eastAsia="Times New Roman" w:hAnsi="Times New Roman"/>
          <w:b/>
          <w:bCs/>
          <w:i/>
          <w:sz w:val="18"/>
          <w:szCs w:val="18"/>
          <w:lang w:eastAsia="ru-RU"/>
        </w:rPr>
        <w:t>п</w:t>
      </w:r>
      <w:r w:rsidR="00184606" w:rsidRPr="00661CAA">
        <w:rPr>
          <w:rFonts w:ascii="Times New Roman" w:eastAsia="Times New Roman" w:hAnsi="Times New Roman"/>
          <w:b/>
          <w:bCs/>
          <w:i/>
          <w:sz w:val="18"/>
          <w:szCs w:val="18"/>
          <w:lang w:eastAsia="ru-RU"/>
        </w:rPr>
        <w:t>равовые риски</w:t>
      </w:r>
      <w:r w:rsidRPr="00661CAA">
        <w:rPr>
          <w:rFonts w:ascii="Times New Roman" w:eastAsia="Times New Roman" w:hAnsi="Times New Roman"/>
          <w:b/>
          <w:bCs/>
          <w:i/>
          <w:sz w:val="18"/>
          <w:szCs w:val="18"/>
          <w:lang w:eastAsia="ru-RU"/>
        </w:rPr>
        <w:t xml:space="preserve">: </w:t>
      </w:r>
      <w:r w:rsidRPr="00661CAA">
        <w:rPr>
          <w:rFonts w:ascii="Times New Roman" w:eastAsia="Times New Roman" w:hAnsi="Times New Roman"/>
          <w:bCs/>
          <w:sz w:val="18"/>
          <w:szCs w:val="18"/>
          <w:lang w:eastAsia="ru-RU"/>
        </w:rPr>
        <w:t>н</w:t>
      </w:r>
      <w:r w:rsidR="00184606" w:rsidRPr="00661CAA">
        <w:rPr>
          <w:rFonts w:ascii="Times New Roman" w:eastAsia="Times New Roman" w:hAnsi="Times New Roman"/>
          <w:bCs/>
          <w:sz w:val="18"/>
          <w:szCs w:val="18"/>
          <w:lang w:eastAsia="ru-RU"/>
        </w:rPr>
        <w:t>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rsidR="00E951CA" w:rsidRPr="00661CAA" w:rsidRDefault="00184606" w:rsidP="00184606">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w:t>
      </w:r>
    </w:p>
    <w:p w:rsidR="00184606" w:rsidRPr="00661CAA" w:rsidRDefault="00184606" w:rsidP="00184606">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Раскрытие информации</w:t>
      </w:r>
      <w:r w:rsidR="0016135D" w:rsidRPr="00661CAA">
        <w:rPr>
          <w:rFonts w:ascii="Times New Roman" w:eastAsia="Times New Roman" w:hAnsi="Times New Roman"/>
          <w:b/>
          <w:bCs/>
          <w:sz w:val="18"/>
          <w:szCs w:val="18"/>
          <w:lang w:eastAsia="ru-RU"/>
        </w:rPr>
        <w:t xml:space="preserve">: </w:t>
      </w:r>
      <w:r w:rsidR="0016135D" w:rsidRPr="00661CAA">
        <w:rPr>
          <w:rFonts w:ascii="Times New Roman" w:eastAsia="Times New Roman" w:hAnsi="Times New Roman"/>
          <w:bCs/>
          <w:sz w:val="18"/>
          <w:szCs w:val="18"/>
          <w:lang w:eastAsia="ru-RU"/>
        </w:rPr>
        <w:t>р</w:t>
      </w:r>
      <w:r w:rsidRPr="00661CAA">
        <w:rPr>
          <w:rFonts w:ascii="Times New Roman" w:eastAsia="Times New Roman" w:hAnsi="Times New Roman"/>
          <w:bCs/>
          <w:sz w:val="18"/>
          <w:szCs w:val="18"/>
          <w:lang w:eastAsia="ru-RU"/>
        </w:rPr>
        <w:t>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E951CA" w:rsidRPr="00661CAA" w:rsidRDefault="00184606" w:rsidP="00184606">
      <w:pPr>
        <w:widowControl w:val="0"/>
        <w:autoSpaceDE w:val="0"/>
        <w:autoSpaceDN w:val="0"/>
        <w:spacing w:after="0" w:line="240" w:lineRule="auto"/>
        <w:ind w:firstLine="600"/>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184606" w:rsidRPr="00661CAA" w:rsidRDefault="00A25909" w:rsidP="00034B60">
      <w:pPr>
        <w:pStyle w:val="a3"/>
        <w:widowControl w:val="0"/>
        <w:numPr>
          <w:ilvl w:val="0"/>
          <w:numId w:val="10"/>
        </w:numPr>
        <w:autoSpaceDE w:val="0"/>
        <w:autoSpaceDN w:val="0"/>
        <w:spacing w:before="240" w:after="120" w:line="240" w:lineRule="auto"/>
        <w:ind w:left="567" w:hanging="567"/>
        <w:contextualSpacing w:val="0"/>
        <w:jc w:val="center"/>
        <w:rPr>
          <w:rFonts w:ascii="Times New Roman" w:eastAsia="Times New Roman" w:hAnsi="Times New Roman"/>
          <w:b/>
          <w:bCs/>
          <w:sz w:val="18"/>
          <w:szCs w:val="18"/>
          <w:lang w:eastAsia="ru-RU"/>
        </w:rPr>
      </w:pPr>
      <w:r w:rsidRPr="00661CAA">
        <w:rPr>
          <w:rFonts w:ascii="Times New Roman" w:eastAsia="Times New Roman" w:hAnsi="Times New Roman"/>
          <w:b/>
          <w:bCs/>
          <w:sz w:val="18"/>
          <w:szCs w:val="18"/>
          <w:lang w:eastAsia="ru-RU"/>
        </w:rPr>
        <w:t>Риски,</w:t>
      </w:r>
      <w:r w:rsidR="00184606" w:rsidRPr="00661CAA">
        <w:rPr>
          <w:rFonts w:ascii="Times New Roman" w:eastAsia="Times New Roman" w:hAnsi="Times New Roman"/>
          <w:b/>
          <w:bCs/>
          <w:sz w:val="18"/>
          <w:szCs w:val="18"/>
          <w:lang w:eastAsia="ru-RU"/>
        </w:rPr>
        <w:t xml:space="preserve"> связанные с инвестирован</w:t>
      </w:r>
      <w:r w:rsidR="002D1B7B" w:rsidRPr="00661CAA">
        <w:rPr>
          <w:rFonts w:ascii="Times New Roman" w:eastAsia="Times New Roman" w:hAnsi="Times New Roman"/>
          <w:b/>
          <w:bCs/>
          <w:sz w:val="18"/>
          <w:szCs w:val="18"/>
          <w:lang w:eastAsia="ru-RU"/>
        </w:rPr>
        <w:t>ием в иностранные ценные бумаги</w:t>
      </w:r>
    </w:p>
    <w:p w:rsidR="00A25909" w:rsidRPr="00661CAA" w:rsidRDefault="006B7AEE" w:rsidP="002D1B7B">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Далее содержится</w:t>
      </w:r>
      <w:r w:rsidR="00A25909" w:rsidRPr="00661CAA">
        <w:rPr>
          <w:rFonts w:ascii="Times New Roman" w:eastAsia="Times New Roman" w:hAnsi="Times New Roman"/>
          <w:bCs/>
          <w:sz w:val="18"/>
          <w:szCs w:val="18"/>
          <w:lang w:eastAsia="ru-RU"/>
        </w:rPr>
        <w:t xml:space="preserve"> информаци</w:t>
      </w:r>
      <w:r w:rsidRPr="00661CAA">
        <w:rPr>
          <w:rFonts w:ascii="Times New Roman" w:eastAsia="Times New Roman" w:hAnsi="Times New Roman"/>
          <w:bCs/>
          <w:sz w:val="18"/>
          <w:szCs w:val="18"/>
          <w:lang w:eastAsia="ru-RU"/>
        </w:rPr>
        <w:t>я</w:t>
      </w:r>
      <w:r w:rsidR="00A25909" w:rsidRPr="00661CAA">
        <w:rPr>
          <w:rFonts w:ascii="Times New Roman" w:eastAsia="Times New Roman" w:hAnsi="Times New Roman"/>
          <w:bCs/>
          <w:sz w:val="18"/>
          <w:szCs w:val="18"/>
          <w:lang w:eastAsia="ru-RU"/>
        </w:rPr>
        <w:t xml:space="preserve">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A25909" w:rsidRPr="00661CAA" w:rsidRDefault="00A25909" w:rsidP="002D1B7B">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Операциям с иностранными ценными бумагами присущи общие риски, связанные с операциями на рынке ценных бумаг, со следующими особенностями:</w:t>
      </w:r>
    </w:p>
    <w:p w:rsidR="00A25909" w:rsidRPr="00661CAA" w:rsidRDefault="00A25909" w:rsidP="002D1B7B">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Системные риски</w:t>
      </w:r>
      <w:r w:rsidR="00995F1A" w:rsidRPr="00661CAA">
        <w:rPr>
          <w:rFonts w:ascii="Times New Roman" w:eastAsia="Times New Roman" w:hAnsi="Times New Roman"/>
          <w:b/>
          <w:bCs/>
          <w:sz w:val="18"/>
          <w:szCs w:val="18"/>
          <w:lang w:eastAsia="ru-RU"/>
        </w:rPr>
        <w:t xml:space="preserve"> - </w:t>
      </w:r>
      <w:r w:rsidR="00995F1A" w:rsidRPr="00661CAA">
        <w:rPr>
          <w:rFonts w:ascii="Times New Roman" w:eastAsia="Times New Roman" w:hAnsi="Times New Roman"/>
          <w:bCs/>
          <w:sz w:val="18"/>
          <w:szCs w:val="18"/>
          <w:lang w:eastAsia="ru-RU"/>
        </w:rPr>
        <w:t>п</w:t>
      </w:r>
      <w:r w:rsidRPr="00661CAA">
        <w:rPr>
          <w:rFonts w:ascii="Times New Roman" w:eastAsia="Times New Roman" w:hAnsi="Times New Roman"/>
          <w:bCs/>
          <w:sz w:val="18"/>
          <w:szCs w:val="18"/>
          <w:lang w:eastAsia="ru-RU"/>
        </w:rPr>
        <w:t>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w:t>
      </w:r>
      <w:r w:rsidR="006B7AEE"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184606" w:rsidRPr="00661CAA" w:rsidRDefault="00A25909" w:rsidP="002D1B7B">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ввиду, что рейтинги являются лишь ориентирами и могут в конкретный момент не соответствовать реальной ситуации.</w:t>
      </w:r>
    </w:p>
    <w:p w:rsidR="006B7AEE" w:rsidRPr="00661CAA" w:rsidRDefault="006B7AEE" w:rsidP="002D1B7B">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6B7AEE" w:rsidRPr="00661CAA" w:rsidRDefault="006B7AEE" w:rsidP="002D1B7B">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6B7AEE" w:rsidRPr="00661CAA" w:rsidRDefault="006B7AEE" w:rsidP="002D1B7B">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Правовые риски</w:t>
      </w:r>
      <w:r w:rsidR="00995F1A" w:rsidRPr="00661CAA">
        <w:rPr>
          <w:rFonts w:ascii="Times New Roman" w:eastAsia="Times New Roman" w:hAnsi="Times New Roman"/>
          <w:b/>
          <w:bCs/>
          <w:sz w:val="18"/>
          <w:szCs w:val="18"/>
          <w:lang w:eastAsia="ru-RU"/>
        </w:rPr>
        <w:t xml:space="preserve"> - </w:t>
      </w:r>
      <w:r w:rsidR="00995F1A" w:rsidRPr="00661CAA">
        <w:rPr>
          <w:rFonts w:ascii="Times New Roman" w:eastAsia="Times New Roman" w:hAnsi="Times New Roman"/>
          <w:bCs/>
          <w:sz w:val="18"/>
          <w:szCs w:val="18"/>
          <w:lang w:eastAsia="ru-RU"/>
        </w:rPr>
        <w:t>п</w:t>
      </w:r>
      <w:r w:rsidRPr="00661CAA">
        <w:rPr>
          <w:rFonts w:ascii="Times New Roman" w:eastAsia="Times New Roman" w:hAnsi="Times New Roman"/>
          <w:bCs/>
          <w:sz w:val="18"/>
          <w:szCs w:val="18"/>
          <w:lang w:eastAsia="ru-RU"/>
        </w:rPr>
        <w:t>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184606" w:rsidRPr="00661CAA" w:rsidRDefault="006B7AEE" w:rsidP="002D1B7B">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B6335A" w:rsidRPr="00661CAA" w:rsidRDefault="00B6335A" w:rsidP="0016135D">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Раскрытие информации</w:t>
      </w:r>
      <w:r w:rsidR="00995F1A" w:rsidRPr="00661CAA">
        <w:rPr>
          <w:rFonts w:ascii="Times New Roman" w:eastAsia="Times New Roman" w:hAnsi="Times New Roman"/>
          <w:b/>
          <w:bCs/>
          <w:sz w:val="18"/>
          <w:szCs w:val="18"/>
          <w:lang w:eastAsia="ru-RU"/>
        </w:rPr>
        <w:t xml:space="preserve"> - </w:t>
      </w:r>
      <w:r w:rsidRPr="00661CAA">
        <w:rPr>
          <w:rFonts w:ascii="Times New Roman" w:eastAsia="Times New Roman" w:hAnsi="Times New Roman"/>
          <w:bCs/>
          <w:sz w:val="18"/>
          <w:szCs w:val="18"/>
          <w:lang w:eastAsia="ru-RU"/>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B6335A" w:rsidRPr="00661CAA" w:rsidRDefault="00B6335A" w:rsidP="002D1B7B">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184606" w:rsidRPr="00661CAA" w:rsidRDefault="00B6335A" w:rsidP="002D1B7B">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 (управляющим).</w:t>
      </w:r>
    </w:p>
    <w:p w:rsidR="00AF2394" w:rsidRPr="00661CAA" w:rsidRDefault="00AF2394" w:rsidP="00034B60">
      <w:pPr>
        <w:pStyle w:val="a3"/>
        <w:widowControl w:val="0"/>
        <w:numPr>
          <w:ilvl w:val="0"/>
          <w:numId w:val="10"/>
        </w:numPr>
        <w:autoSpaceDE w:val="0"/>
        <w:autoSpaceDN w:val="0"/>
        <w:spacing w:before="240" w:after="120" w:line="240" w:lineRule="auto"/>
        <w:ind w:left="567" w:hanging="567"/>
        <w:contextualSpacing w:val="0"/>
        <w:jc w:val="center"/>
        <w:rPr>
          <w:rFonts w:ascii="Times New Roman" w:eastAsia="Times New Roman" w:hAnsi="Times New Roman"/>
          <w:b/>
          <w:bCs/>
          <w:sz w:val="18"/>
          <w:szCs w:val="18"/>
          <w:lang w:eastAsia="ru-RU"/>
        </w:rPr>
      </w:pPr>
      <w:r w:rsidRPr="00661CAA">
        <w:rPr>
          <w:rFonts w:ascii="Times New Roman" w:eastAsia="Times New Roman" w:hAnsi="Times New Roman"/>
          <w:b/>
          <w:bCs/>
          <w:sz w:val="18"/>
          <w:szCs w:val="18"/>
          <w:lang w:eastAsia="ru-RU"/>
        </w:rPr>
        <w:t>Риски, связанные с совершением маржинальных и непокрытых сделок</w:t>
      </w:r>
    </w:p>
    <w:p w:rsidR="00AF2394" w:rsidRPr="00661CAA" w:rsidRDefault="00AF2394" w:rsidP="00AF2394">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Маржинальные сделки (то есть сделки, исполнение которых осуществляется с использованием заемных средств, предоставленных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ом)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у, недостаточно с учетом иных ранее заключенных сделок)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Клиента по заключенным в его интересах сделкам и имущества Клиента, предназначенного для совершения сделок в соответствии с брокерским договором. Тем не менее данные сделки подходят не всем Клиентам, поскольку сопряжены с дополнительными рисками и требуют оценки того, готов ли Клиент их нести.</w:t>
      </w:r>
    </w:p>
    <w:p w:rsidR="00AF2394" w:rsidRPr="00661CAA" w:rsidRDefault="00AF2394" w:rsidP="00AF2394">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Рыночный риск -</w:t>
      </w:r>
      <w:r w:rsidRPr="00661CAA">
        <w:rPr>
          <w:rFonts w:ascii="Times New Roman" w:eastAsia="Times New Roman" w:hAnsi="Times New Roman"/>
          <w:bCs/>
          <w:sz w:val="18"/>
          <w:szCs w:val="18"/>
          <w:lang w:eastAsia="ru-RU"/>
        </w:rPr>
        <w:t xml:space="preserve"> при согласии на совершение маржинальных и непокрытых сделок Клиенты должны учитывать тот факт, что величина потерь в случае неблагоприятного для портфеля движения рынка увеличивается при увеличении «плеча». </w:t>
      </w:r>
    </w:p>
    <w:p w:rsidR="00AF2394" w:rsidRPr="00661CAA" w:rsidRDefault="00AF2394" w:rsidP="00AF2394">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Помимо общего рыночного риска, который несет Клиент, совершающий операции на рынке ценных бумаг, Клиент в случае совершения маржинальных и непокрытых сделок будет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активов, которые служат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Клиент обязан вернуть (передать)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у ценные бумаги независимо от изменения их стоимости.</w:t>
      </w:r>
    </w:p>
    <w:p w:rsidR="00AF2394" w:rsidRPr="00661CAA" w:rsidRDefault="00AF2394" w:rsidP="00AF2394">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При совершении маржинальных и непокрытых сделок Клиенты должны учитывать, что возможность распоряжения активами, являющимися обеспечением по таким сделкам, ограничена.</w:t>
      </w:r>
    </w:p>
    <w:p w:rsidR="00AF2394" w:rsidRPr="00661CAA" w:rsidRDefault="00AF2394" w:rsidP="00AF2394">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Имущество (часть имущества), принадлежащее Клиенту, в результате совершения маржинальной или непокрытой сделки является обеспечением исполнения обязательств Клиента перед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Клиент может быть ограничен в возможности распоряжаться своим имуществом в большей степени, чем до совершения маржинальной (непокрытой) сделки.</w:t>
      </w:r>
    </w:p>
    <w:p w:rsidR="00AF2394" w:rsidRPr="00661CAA" w:rsidRDefault="00AF2394" w:rsidP="00995F1A">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w:t>
      </w:r>
      <w:r w:rsidR="00995F1A"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xml:space="preserve">. Нормативные акты и условия брокерского договора позволяют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у без </w:t>
      </w:r>
      <w:r w:rsidR="00995F1A" w:rsidRPr="00661CAA">
        <w:rPr>
          <w:rFonts w:ascii="Times New Roman" w:eastAsia="Times New Roman" w:hAnsi="Times New Roman"/>
          <w:bCs/>
          <w:sz w:val="18"/>
          <w:szCs w:val="18"/>
          <w:lang w:eastAsia="ru-RU"/>
        </w:rPr>
        <w:t xml:space="preserve">согласия Клиента </w:t>
      </w:r>
      <w:r w:rsidRPr="00661CAA">
        <w:rPr>
          <w:rFonts w:ascii="Times New Roman" w:eastAsia="Times New Roman" w:hAnsi="Times New Roman"/>
          <w:bCs/>
          <w:sz w:val="18"/>
          <w:szCs w:val="18"/>
          <w:lang w:eastAsia="ru-RU"/>
        </w:rPr>
        <w:t xml:space="preserve">«принудительно закрыть позицию», то есть приобрести ценные бумаги за счет </w:t>
      </w:r>
      <w:r w:rsidR="00995F1A" w:rsidRPr="00661CAA">
        <w:rPr>
          <w:rFonts w:ascii="Times New Roman" w:eastAsia="Times New Roman" w:hAnsi="Times New Roman"/>
          <w:bCs/>
          <w:sz w:val="18"/>
          <w:szCs w:val="18"/>
          <w:lang w:eastAsia="ru-RU"/>
        </w:rPr>
        <w:t>его</w:t>
      </w:r>
      <w:r w:rsidRPr="00661CAA">
        <w:rPr>
          <w:rFonts w:ascii="Times New Roman" w:eastAsia="Times New Roman" w:hAnsi="Times New Roman"/>
          <w:bCs/>
          <w:sz w:val="18"/>
          <w:szCs w:val="18"/>
          <w:lang w:eastAsia="ru-RU"/>
        </w:rPr>
        <w:t xml:space="preserve"> денежных средств или продать </w:t>
      </w:r>
      <w:r w:rsidR="00995F1A" w:rsidRPr="00661CAA">
        <w:rPr>
          <w:rFonts w:ascii="Times New Roman" w:eastAsia="Times New Roman" w:hAnsi="Times New Roman"/>
          <w:bCs/>
          <w:sz w:val="18"/>
          <w:szCs w:val="18"/>
          <w:lang w:eastAsia="ru-RU"/>
        </w:rPr>
        <w:t>его</w:t>
      </w:r>
      <w:r w:rsidRPr="00661CAA">
        <w:rPr>
          <w:rFonts w:ascii="Times New Roman" w:eastAsia="Times New Roman" w:hAnsi="Times New Roman"/>
          <w:bCs/>
          <w:sz w:val="18"/>
          <w:szCs w:val="18"/>
          <w:lang w:eastAsia="ru-RU"/>
        </w:rPr>
        <w:t xml:space="preserve"> ценные бумаги. Это может быть сделано по существующим, в том числе невыгодным, ценам и привести к возникновению у вас убытков.</w:t>
      </w:r>
    </w:p>
    <w:p w:rsidR="00AF2394" w:rsidRPr="00661CAA" w:rsidRDefault="00AF2394" w:rsidP="00995F1A">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Принудительное закрытие позиции может быть вызвано резкими колебаниями рыночных цен, которые повлекли уменьшение стоимости портфеля </w:t>
      </w:r>
      <w:r w:rsidR="00995F1A" w:rsidRPr="00661CAA">
        <w:rPr>
          <w:rFonts w:ascii="Times New Roman" w:eastAsia="Times New Roman" w:hAnsi="Times New Roman"/>
          <w:bCs/>
          <w:sz w:val="18"/>
          <w:szCs w:val="18"/>
          <w:lang w:eastAsia="ru-RU"/>
        </w:rPr>
        <w:t xml:space="preserve">Клиента </w:t>
      </w:r>
      <w:r w:rsidRPr="00661CAA">
        <w:rPr>
          <w:rFonts w:ascii="Times New Roman" w:eastAsia="Times New Roman" w:hAnsi="Times New Roman"/>
          <w:bCs/>
          <w:sz w:val="18"/>
          <w:szCs w:val="18"/>
          <w:lang w:eastAsia="ru-RU"/>
        </w:rPr>
        <w:t>ниже минимальной маржи.</w:t>
      </w:r>
    </w:p>
    <w:p w:rsidR="00AF2394" w:rsidRPr="00661CAA" w:rsidRDefault="00AF2394" w:rsidP="00995F1A">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Принудительное закрытие позиции может быть вызвано требованиями нормативных актов или внесением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ом в одностороннем порядке изменений в список ценных бумаг, которые могут быть обеспечением по непокрытым позициям. </w:t>
      </w:r>
    </w:p>
    <w:p w:rsidR="00AF2394" w:rsidRPr="00661CAA" w:rsidRDefault="00AF2394" w:rsidP="00995F1A">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Принудительное закрытие может быть вызвано изменением значений ставок риска, рассчитываемых клиринговой организацией и (или) используемых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ом в связи с увеличением волатильности соответствующих ценных бумаг.</w:t>
      </w:r>
    </w:p>
    <w:p w:rsidR="00AF2394" w:rsidRPr="00661CAA" w:rsidRDefault="00AF2394" w:rsidP="00995F1A">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Во всех этих случаях принудительное закрытие позиции может причинить </w:t>
      </w:r>
      <w:r w:rsidR="00995F1A" w:rsidRPr="00661CAA">
        <w:rPr>
          <w:rFonts w:ascii="Times New Roman" w:eastAsia="Times New Roman" w:hAnsi="Times New Roman"/>
          <w:bCs/>
          <w:sz w:val="18"/>
          <w:szCs w:val="18"/>
          <w:lang w:eastAsia="ru-RU"/>
        </w:rPr>
        <w:t>Клиенту</w:t>
      </w:r>
      <w:r w:rsidRPr="00661CAA">
        <w:rPr>
          <w:rFonts w:ascii="Times New Roman" w:eastAsia="Times New Roman" w:hAnsi="Times New Roman"/>
          <w:bCs/>
          <w:sz w:val="18"/>
          <w:szCs w:val="18"/>
          <w:lang w:eastAsia="ru-RU"/>
        </w:rPr>
        <w:t xml:space="preserve"> значительные убытки, несмотря на то, что после закрытия позиции изменение цен на финансовые инструменты может принять благоприятное для </w:t>
      </w:r>
      <w:r w:rsidR="00995F1A" w:rsidRPr="00661CAA">
        <w:rPr>
          <w:rFonts w:ascii="Times New Roman" w:eastAsia="Times New Roman" w:hAnsi="Times New Roman"/>
          <w:bCs/>
          <w:sz w:val="18"/>
          <w:szCs w:val="18"/>
          <w:lang w:eastAsia="ru-RU"/>
        </w:rPr>
        <w:t>него</w:t>
      </w:r>
      <w:r w:rsidRPr="00661CAA">
        <w:rPr>
          <w:rFonts w:ascii="Times New Roman" w:eastAsia="Times New Roman" w:hAnsi="Times New Roman"/>
          <w:bCs/>
          <w:sz w:val="18"/>
          <w:szCs w:val="18"/>
          <w:lang w:eastAsia="ru-RU"/>
        </w:rPr>
        <w:t xml:space="preserve"> направление, и </w:t>
      </w:r>
      <w:r w:rsidR="00995F1A" w:rsidRPr="00661CAA">
        <w:rPr>
          <w:rFonts w:ascii="Times New Roman" w:eastAsia="Times New Roman" w:hAnsi="Times New Roman"/>
          <w:bCs/>
          <w:sz w:val="18"/>
          <w:szCs w:val="18"/>
          <w:lang w:eastAsia="ru-RU"/>
        </w:rPr>
        <w:t>он</w:t>
      </w:r>
      <w:r w:rsidRPr="00661CAA">
        <w:rPr>
          <w:rFonts w:ascii="Times New Roman" w:eastAsia="Times New Roman" w:hAnsi="Times New Roman"/>
          <w:bCs/>
          <w:sz w:val="18"/>
          <w:szCs w:val="18"/>
          <w:lang w:eastAsia="ru-RU"/>
        </w:rPr>
        <w:t xml:space="preserve"> получили бы доход, если бы </w:t>
      </w:r>
      <w:r w:rsidR="00995F1A" w:rsidRPr="00661CAA">
        <w:rPr>
          <w:rFonts w:ascii="Times New Roman" w:eastAsia="Times New Roman" w:hAnsi="Times New Roman"/>
          <w:bCs/>
          <w:sz w:val="18"/>
          <w:szCs w:val="18"/>
          <w:lang w:eastAsia="ru-RU"/>
        </w:rPr>
        <w:t>его</w:t>
      </w:r>
      <w:r w:rsidRPr="00661CAA">
        <w:rPr>
          <w:rFonts w:ascii="Times New Roman" w:eastAsia="Times New Roman" w:hAnsi="Times New Roman"/>
          <w:bCs/>
          <w:sz w:val="18"/>
          <w:szCs w:val="18"/>
          <w:lang w:eastAsia="ru-RU"/>
        </w:rPr>
        <w:t xml:space="preserve"> позиция не была закрыта. Размер указанных убытков при неблагоприятном стечении обстоятельств может превысить стоимость находящихся на счету активов. </w:t>
      </w:r>
    </w:p>
    <w:p w:rsidR="00AF2394" w:rsidRPr="00661CAA" w:rsidRDefault="00AF2394" w:rsidP="00995F1A">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
          <w:bCs/>
          <w:sz w:val="18"/>
          <w:szCs w:val="18"/>
          <w:lang w:eastAsia="ru-RU"/>
        </w:rPr>
        <w:t>Риск ликвидности</w:t>
      </w:r>
      <w:r w:rsidR="00995F1A" w:rsidRPr="00661CAA">
        <w:rPr>
          <w:rFonts w:ascii="Times New Roman" w:eastAsia="Times New Roman" w:hAnsi="Times New Roman"/>
          <w:b/>
          <w:bCs/>
          <w:sz w:val="18"/>
          <w:szCs w:val="18"/>
          <w:lang w:eastAsia="ru-RU"/>
        </w:rPr>
        <w:t xml:space="preserve"> -</w:t>
      </w:r>
      <w:r w:rsidR="00995F1A" w:rsidRPr="00661CAA">
        <w:rPr>
          <w:sz w:val="18"/>
          <w:szCs w:val="18"/>
        </w:rPr>
        <w:t xml:space="preserve"> </w:t>
      </w:r>
      <w:r w:rsidR="00995F1A" w:rsidRPr="00661CAA">
        <w:rPr>
          <w:rFonts w:ascii="Times New Roman" w:eastAsia="Times New Roman" w:hAnsi="Times New Roman"/>
          <w:bCs/>
          <w:sz w:val="18"/>
          <w:szCs w:val="18"/>
          <w:lang w:eastAsia="ru-RU"/>
        </w:rPr>
        <w:t>е</w:t>
      </w:r>
      <w:r w:rsidRPr="00661CAA">
        <w:rPr>
          <w:rFonts w:ascii="Times New Roman" w:eastAsia="Times New Roman" w:hAnsi="Times New Roman"/>
          <w:bCs/>
          <w:sz w:val="18"/>
          <w:szCs w:val="18"/>
          <w:lang w:eastAsia="ru-RU"/>
        </w:rPr>
        <w:t>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активов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непокрытой позиции</w:t>
      </w:r>
      <w:r w:rsidR="00995F1A" w:rsidRPr="00661CAA">
        <w:rPr>
          <w:rFonts w:ascii="Times New Roman" w:eastAsia="Times New Roman" w:hAnsi="Times New Roman"/>
          <w:bCs/>
          <w:sz w:val="18"/>
          <w:szCs w:val="18"/>
          <w:lang w:eastAsia="ru-RU"/>
        </w:rPr>
        <w:t xml:space="preserve"> Клиента</w:t>
      </w:r>
      <w:r w:rsidRPr="00661CAA">
        <w:rPr>
          <w:rFonts w:ascii="Times New Roman" w:eastAsia="Times New Roman" w:hAnsi="Times New Roman"/>
          <w:bCs/>
          <w:sz w:val="18"/>
          <w:szCs w:val="18"/>
          <w:lang w:eastAsia="ru-RU"/>
        </w:rPr>
        <w:t xml:space="preserve"> являются ценные бумаги и для закрытия непокрытой позиции может потребоваться реализация существенного количества ценных бумаг.</w:t>
      </w:r>
    </w:p>
    <w:p w:rsidR="00AF2394" w:rsidRPr="00661CAA" w:rsidRDefault="00995F1A" w:rsidP="00995F1A">
      <w:pPr>
        <w:widowControl w:val="0"/>
        <w:autoSpaceDE w:val="0"/>
        <w:autoSpaceDN w:val="0"/>
        <w:spacing w:after="0" w:line="240" w:lineRule="auto"/>
        <w:ind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w:t>
      </w:r>
      <w:r w:rsidR="00AF2394" w:rsidRPr="00661CAA">
        <w:rPr>
          <w:rFonts w:ascii="Times New Roman" w:eastAsia="Times New Roman" w:hAnsi="Times New Roman"/>
          <w:bCs/>
          <w:sz w:val="18"/>
          <w:szCs w:val="18"/>
          <w:lang w:eastAsia="ru-RU"/>
        </w:rPr>
        <w:t>оручения</w:t>
      </w:r>
      <w:r w:rsidRPr="00661CAA">
        <w:rPr>
          <w:rFonts w:ascii="Times New Roman" w:eastAsia="Times New Roman" w:hAnsi="Times New Roman"/>
          <w:bCs/>
          <w:sz w:val="18"/>
          <w:szCs w:val="18"/>
          <w:lang w:eastAsia="ru-RU"/>
        </w:rPr>
        <w:t xml:space="preserve"> Клиента</w:t>
      </w:r>
      <w:r w:rsidR="00AF2394" w:rsidRPr="00661CAA">
        <w:rPr>
          <w:rFonts w:ascii="Times New Roman" w:eastAsia="Times New Roman" w:hAnsi="Times New Roman"/>
          <w:bCs/>
          <w:sz w:val="18"/>
          <w:szCs w:val="18"/>
          <w:lang w:eastAsia="ru-RU"/>
        </w:rPr>
        <w:t>,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w:t>
      </w:r>
      <w:r w:rsidRPr="00661CAA">
        <w:rPr>
          <w:rFonts w:ascii="Times New Roman" w:eastAsia="Times New Roman" w:hAnsi="Times New Roman"/>
          <w:bCs/>
          <w:sz w:val="18"/>
          <w:szCs w:val="18"/>
          <w:lang w:eastAsia="ru-RU"/>
        </w:rPr>
        <w:t xml:space="preserve"> такого поручения по указанной им</w:t>
      </w:r>
      <w:r w:rsidR="00AF2394" w:rsidRPr="00661CAA">
        <w:rPr>
          <w:rFonts w:ascii="Times New Roman" w:eastAsia="Times New Roman" w:hAnsi="Times New Roman"/>
          <w:bCs/>
          <w:sz w:val="18"/>
          <w:szCs w:val="18"/>
          <w:lang w:eastAsia="ru-RU"/>
        </w:rPr>
        <w:t xml:space="preserve"> цене может оказаться </w:t>
      </w:r>
      <w:r w:rsidRPr="00661CAA">
        <w:rPr>
          <w:rFonts w:ascii="Times New Roman" w:eastAsia="Times New Roman" w:hAnsi="Times New Roman"/>
          <w:bCs/>
          <w:sz w:val="18"/>
          <w:szCs w:val="18"/>
          <w:lang w:eastAsia="ru-RU"/>
        </w:rPr>
        <w:t>невозможным.</w:t>
      </w:r>
    </w:p>
    <w:p w:rsidR="00B6335A" w:rsidRPr="00661CAA" w:rsidRDefault="00B6335A" w:rsidP="00034B60">
      <w:pPr>
        <w:pStyle w:val="a3"/>
        <w:widowControl w:val="0"/>
        <w:numPr>
          <w:ilvl w:val="0"/>
          <w:numId w:val="10"/>
        </w:numPr>
        <w:autoSpaceDE w:val="0"/>
        <w:autoSpaceDN w:val="0"/>
        <w:spacing w:before="240" w:after="120" w:line="240" w:lineRule="auto"/>
        <w:ind w:left="567" w:hanging="567"/>
        <w:contextualSpacing w:val="0"/>
        <w:jc w:val="center"/>
        <w:rPr>
          <w:rFonts w:ascii="Times New Roman" w:eastAsia="Times New Roman" w:hAnsi="Times New Roman"/>
          <w:b/>
          <w:bCs/>
          <w:sz w:val="18"/>
          <w:szCs w:val="18"/>
          <w:lang w:eastAsia="ru-RU"/>
        </w:rPr>
      </w:pPr>
      <w:r w:rsidRPr="00661CAA">
        <w:rPr>
          <w:rFonts w:ascii="Times New Roman" w:eastAsia="Times New Roman" w:hAnsi="Times New Roman"/>
          <w:b/>
          <w:bCs/>
          <w:sz w:val="18"/>
          <w:szCs w:val="18"/>
          <w:lang w:eastAsia="ru-RU"/>
        </w:rPr>
        <w:t xml:space="preserve">Риски, связанные с совмещением </w:t>
      </w:r>
      <w:r w:rsidR="00A702FD" w:rsidRPr="00661CAA">
        <w:rPr>
          <w:rFonts w:ascii="Times New Roman" w:eastAsia="Times New Roman" w:hAnsi="Times New Roman"/>
          <w:b/>
          <w:bCs/>
          <w:sz w:val="18"/>
          <w:szCs w:val="18"/>
          <w:lang w:eastAsia="ru-RU"/>
        </w:rPr>
        <w:t>Банком</w:t>
      </w:r>
      <w:r w:rsidRPr="00661CAA">
        <w:rPr>
          <w:rFonts w:ascii="Times New Roman" w:eastAsia="Times New Roman" w:hAnsi="Times New Roman"/>
          <w:b/>
          <w:bCs/>
          <w:sz w:val="18"/>
          <w:szCs w:val="18"/>
          <w:lang w:eastAsia="ru-RU"/>
        </w:rPr>
        <w:t xml:space="preserve"> различных видов профессиональной деятельности, профессиональной деятельно</w:t>
      </w:r>
      <w:r w:rsidR="002D1B7B" w:rsidRPr="00661CAA">
        <w:rPr>
          <w:rFonts w:ascii="Times New Roman" w:eastAsia="Times New Roman" w:hAnsi="Times New Roman"/>
          <w:b/>
          <w:bCs/>
          <w:sz w:val="18"/>
          <w:szCs w:val="18"/>
          <w:lang w:eastAsia="ru-RU"/>
        </w:rPr>
        <w:t>сти с иными видами деятельности</w:t>
      </w:r>
    </w:p>
    <w:p w:rsidR="000B2FD4" w:rsidRPr="00661CAA" w:rsidRDefault="00DF4588" w:rsidP="00034B60">
      <w:pPr>
        <w:pStyle w:val="a3"/>
        <w:widowControl w:val="0"/>
        <w:numPr>
          <w:ilvl w:val="1"/>
          <w:numId w:val="10"/>
        </w:numPr>
        <w:autoSpaceDE w:val="0"/>
        <w:autoSpaceDN w:val="0"/>
        <w:spacing w:after="0" w:line="240" w:lineRule="auto"/>
        <w:ind w:left="567" w:hanging="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Банк</w:t>
      </w:r>
      <w:r w:rsidR="000B2FD4" w:rsidRPr="00661CAA">
        <w:rPr>
          <w:rFonts w:ascii="Times New Roman" w:eastAsia="Times New Roman" w:hAnsi="Times New Roman"/>
          <w:bCs/>
          <w:sz w:val="18"/>
          <w:szCs w:val="18"/>
          <w:lang w:eastAsia="ru-RU"/>
        </w:rPr>
        <w:t xml:space="preserve"> доводит до сведения всех Клиентов информацию о том, что, имея</w:t>
      </w:r>
      <w:r w:rsidR="000B6235" w:rsidRPr="00661CAA">
        <w:rPr>
          <w:rFonts w:ascii="Times New Roman" w:eastAsia="Times New Roman" w:hAnsi="Times New Roman"/>
          <w:bCs/>
          <w:sz w:val="18"/>
          <w:szCs w:val="18"/>
          <w:lang w:eastAsia="ru-RU"/>
        </w:rPr>
        <w:t xml:space="preserve"> </w:t>
      </w:r>
      <w:r w:rsidR="000B2FD4" w:rsidRPr="00661CAA">
        <w:rPr>
          <w:rFonts w:ascii="Times New Roman" w:eastAsia="Times New Roman" w:hAnsi="Times New Roman"/>
          <w:bCs/>
          <w:sz w:val="18"/>
          <w:szCs w:val="18"/>
          <w:lang w:eastAsia="ru-RU"/>
        </w:rPr>
        <w:t>соответствующие лицензии, совмещает несколько видов профессиональной деятельности на</w:t>
      </w:r>
      <w:r w:rsidR="000B6235" w:rsidRPr="00661CAA">
        <w:rPr>
          <w:rFonts w:ascii="Times New Roman" w:eastAsia="Times New Roman" w:hAnsi="Times New Roman"/>
          <w:bCs/>
          <w:sz w:val="18"/>
          <w:szCs w:val="18"/>
          <w:lang w:eastAsia="ru-RU"/>
        </w:rPr>
        <w:t xml:space="preserve"> </w:t>
      </w:r>
      <w:r w:rsidR="000B2FD4" w:rsidRPr="00661CAA">
        <w:rPr>
          <w:rFonts w:ascii="Times New Roman" w:eastAsia="Times New Roman" w:hAnsi="Times New Roman"/>
          <w:bCs/>
          <w:sz w:val="18"/>
          <w:szCs w:val="18"/>
          <w:lang w:eastAsia="ru-RU"/>
        </w:rPr>
        <w:t xml:space="preserve">рынке ценных бумаг: брокерскую, дилерскую </w:t>
      </w:r>
      <w:r w:rsidR="000C61B5" w:rsidRPr="00661CAA">
        <w:rPr>
          <w:rFonts w:ascii="Times New Roman" w:eastAsia="Times New Roman" w:hAnsi="Times New Roman"/>
          <w:bCs/>
          <w:sz w:val="18"/>
          <w:szCs w:val="18"/>
          <w:lang w:eastAsia="ru-RU"/>
        </w:rPr>
        <w:t xml:space="preserve">и </w:t>
      </w:r>
      <w:r w:rsidR="000B2FD4" w:rsidRPr="00661CAA">
        <w:rPr>
          <w:rFonts w:ascii="Times New Roman" w:eastAsia="Times New Roman" w:hAnsi="Times New Roman"/>
          <w:bCs/>
          <w:sz w:val="18"/>
          <w:szCs w:val="18"/>
          <w:lang w:eastAsia="ru-RU"/>
        </w:rPr>
        <w:t>депозитарную</w:t>
      </w:r>
      <w:r w:rsidR="000C61B5" w:rsidRPr="00661CAA">
        <w:rPr>
          <w:rFonts w:ascii="Times New Roman" w:eastAsia="Times New Roman" w:hAnsi="Times New Roman"/>
          <w:bCs/>
          <w:sz w:val="18"/>
          <w:szCs w:val="18"/>
          <w:lang w:eastAsia="ru-RU"/>
        </w:rPr>
        <w:t xml:space="preserve">. </w:t>
      </w:r>
    </w:p>
    <w:p w:rsidR="000B6235" w:rsidRPr="00661CAA" w:rsidRDefault="000B2FD4" w:rsidP="00034B60">
      <w:pPr>
        <w:pStyle w:val="a3"/>
        <w:widowControl w:val="0"/>
        <w:numPr>
          <w:ilvl w:val="1"/>
          <w:numId w:val="10"/>
        </w:numPr>
        <w:autoSpaceDE w:val="0"/>
        <w:autoSpaceDN w:val="0"/>
        <w:spacing w:after="0" w:line="240" w:lineRule="auto"/>
        <w:ind w:left="567" w:hanging="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Под рисками совмещения различных видов профессиональной деятельности на рынке ценных</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бумаг, в целях настоящего документа, понимается возможность нанесения ущерба Клиенту</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вследствие:</w:t>
      </w:r>
      <w:r w:rsidR="000B6235" w:rsidRPr="00661CAA">
        <w:rPr>
          <w:rFonts w:ascii="Times New Roman" w:eastAsia="Times New Roman" w:hAnsi="Times New Roman"/>
          <w:bCs/>
          <w:sz w:val="18"/>
          <w:szCs w:val="18"/>
          <w:lang w:eastAsia="ru-RU"/>
        </w:rPr>
        <w:t xml:space="preserve"> </w:t>
      </w:r>
    </w:p>
    <w:p w:rsidR="000B6235" w:rsidRPr="00661CAA"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неправомерного использования сотрудниками </w:t>
      </w:r>
      <w:r w:rsidR="0048155A" w:rsidRPr="00661CAA">
        <w:rPr>
          <w:rFonts w:ascii="Times New Roman" w:eastAsia="Times New Roman" w:hAnsi="Times New Roman"/>
          <w:bCs/>
          <w:sz w:val="18"/>
          <w:szCs w:val="18"/>
          <w:lang w:eastAsia="ru-RU"/>
        </w:rPr>
        <w:t>Банка</w:t>
      </w:r>
      <w:r w:rsidRPr="00661CAA">
        <w:rPr>
          <w:rFonts w:ascii="Times New Roman" w:eastAsia="Times New Roman" w:hAnsi="Times New Roman"/>
          <w:bCs/>
          <w:sz w:val="18"/>
          <w:szCs w:val="18"/>
          <w:lang w:eastAsia="ru-RU"/>
        </w:rPr>
        <w:t>, осуществляющими</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профессиональную деятельность на рынке ценных бумаг, конфиденциальной информации</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при проведении операций (сделок) на рынке ценных бумаг;</w:t>
      </w:r>
    </w:p>
    <w:p w:rsidR="000B6235" w:rsidRPr="00661CAA"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возникновения конфликта интересов, а именно, нарушения принципа приоритетности</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 xml:space="preserve">интересов </w:t>
      </w:r>
      <w:r w:rsidR="00FB40CD"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xml:space="preserve">, перед интересами </w:t>
      </w:r>
      <w:r w:rsidR="0048155A" w:rsidRPr="00661CAA">
        <w:rPr>
          <w:rFonts w:ascii="Times New Roman" w:eastAsia="Times New Roman" w:hAnsi="Times New Roman"/>
          <w:bCs/>
          <w:sz w:val="18"/>
          <w:szCs w:val="18"/>
          <w:lang w:eastAsia="ru-RU"/>
        </w:rPr>
        <w:t>Банка</w:t>
      </w:r>
      <w:r w:rsidRPr="00661CAA">
        <w:rPr>
          <w:rFonts w:ascii="Times New Roman" w:eastAsia="Times New Roman" w:hAnsi="Times New Roman"/>
          <w:bCs/>
          <w:sz w:val="18"/>
          <w:szCs w:val="18"/>
          <w:lang w:eastAsia="ru-RU"/>
        </w:rPr>
        <w:t>, которые могут</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 xml:space="preserve">привести в результате действий (бездействия) </w:t>
      </w:r>
      <w:r w:rsidR="0048155A" w:rsidRPr="00661CAA">
        <w:rPr>
          <w:rFonts w:ascii="Times New Roman" w:eastAsia="Times New Roman" w:hAnsi="Times New Roman"/>
          <w:bCs/>
          <w:sz w:val="18"/>
          <w:szCs w:val="18"/>
          <w:lang w:eastAsia="ru-RU"/>
        </w:rPr>
        <w:t>Банка</w:t>
      </w:r>
      <w:r w:rsidRPr="00661CAA">
        <w:rPr>
          <w:rFonts w:ascii="Times New Roman" w:eastAsia="Times New Roman" w:hAnsi="Times New Roman"/>
          <w:bCs/>
          <w:sz w:val="18"/>
          <w:szCs w:val="18"/>
          <w:lang w:eastAsia="ru-RU"/>
        </w:rPr>
        <w:t xml:space="preserve"> и его сотрудников к убыткам</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 xml:space="preserve">и/или неблагоприятным последствиям для </w:t>
      </w:r>
      <w:r w:rsidR="00FB40CD"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 xml:space="preserve">; </w:t>
      </w:r>
    </w:p>
    <w:p w:rsidR="000B6235" w:rsidRPr="00661CAA" w:rsidRDefault="000B6235" w:rsidP="002D1B7B">
      <w:pPr>
        <w:pStyle w:val="a3"/>
        <w:widowControl w:val="0"/>
        <w:autoSpaceDE w:val="0"/>
        <w:autoSpaceDN w:val="0"/>
        <w:spacing w:after="0" w:line="240" w:lineRule="auto"/>
        <w:ind w:left="567"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w:t>
      </w:r>
      <w:r w:rsidR="000B2FD4" w:rsidRPr="00661CAA">
        <w:rPr>
          <w:rFonts w:ascii="Times New Roman" w:eastAsia="Times New Roman" w:hAnsi="Times New Roman"/>
          <w:bCs/>
          <w:sz w:val="18"/>
          <w:szCs w:val="18"/>
          <w:lang w:eastAsia="ru-RU"/>
        </w:rPr>
        <w:t>неправомерного и/или ненадлежащего использования инсайдерской информации,</w:t>
      </w:r>
      <w:r w:rsidRPr="00661CAA">
        <w:rPr>
          <w:rFonts w:ascii="Times New Roman" w:eastAsia="Times New Roman" w:hAnsi="Times New Roman"/>
          <w:bCs/>
          <w:sz w:val="18"/>
          <w:szCs w:val="18"/>
          <w:lang w:eastAsia="ru-RU"/>
        </w:rPr>
        <w:t xml:space="preserve"> </w:t>
      </w:r>
      <w:r w:rsidR="000B2FD4" w:rsidRPr="00661CAA">
        <w:rPr>
          <w:rFonts w:ascii="Times New Roman" w:eastAsia="Times New Roman" w:hAnsi="Times New Roman"/>
          <w:bCs/>
          <w:sz w:val="18"/>
          <w:szCs w:val="18"/>
          <w:lang w:eastAsia="ru-RU"/>
        </w:rPr>
        <w:t xml:space="preserve">полученной в </w:t>
      </w:r>
      <w:r w:rsidR="001B3577" w:rsidRPr="00661CAA">
        <w:rPr>
          <w:rFonts w:ascii="Times New Roman" w:eastAsia="Times New Roman" w:hAnsi="Times New Roman"/>
          <w:bCs/>
          <w:sz w:val="18"/>
          <w:szCs w:val="18"/>
          <w:lang w:eastAsia="ru-RU"/>
        </w:rPr>
        <w:t>с</w:t>
      </w:r>
      <w:r w:rsidR="000B2FD4" w:rsidRPr="00661CAA">
        <w:rPr>
          <w:rFonts w:ascii="Times New Roman" w:eastAsia="Times New Roman" w:hAnsi="Times New Roman"/>
          <w:bCs/>
          <w:sz w:val="18"/>
          <w:szCs w:val="18"/>
          <w:lang w:eastAsia="ru-RU"/>
        </w:rPr>
        <w:t>вязи с осуществлением профессиональной деятельности;</w:t>
      </w:r>
      <w:r w:rsidRPr="00661CAA">
        <w:rPr>
          <w:rFonts w:ascii="Times New Roman" w:eastAsia="Times New Roman" w:hAnsi="Times New Roman"/>
          <w:bCs/>
          <w:sz w:val="18"/>
          <w:szCs w:val="18"/>
          <w:lang w:eastAsia="ru-RU"/>
        </w:rPr>
        <w:t xml:space="preserve"> </w:t>
      </w:r>
    </w:p>
    <w:p w:rsidR="000B6235" w:rsidRPr="00661CAA"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противоправного распоряжения сотрудниками </w:t>
      </w:r>
      <w:r w:rsidR="0048155A" w:rsidRPr="00661CAA">
        <w:rPr>
          <w:rFonts w:ascii="Times New Roman" w:eastAsia="Times New Roman" w:hAnsi="Times New Roman"/>
          <w:bCs/>
          <w:sz w:val="18"/>
          <w:szCs w:val="18"/>
          <w:lang w:eastAsia="ru-RU"/>
        </w:rPr>
        <w:t>Банка</w:t>
      </w:r>
      <w:r w:rsidRPr="00661CAA">
        <w:rPr>
          <w:rFonts w:ascii="Times New Roman" w:eastAsia="Times New Roman" w:hAnsi="Times New Roman"/>
          <w:bCs/>
          <w:sz w:val="18"/>
          <w:szCs w:val="18"/>
          <w:lang w:eastAsia="ru-RU"/>
        </w:rPr>
        <w:t xml:space="preserve"> ценными бумагами и</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денежными средствами Клиента;</w:t>
      </w:r>
      <w:r w:rsidR="000B6235" w:rsidRPr="00661CAA">
        <w:rPr>
          <w:rFonts w:ascii="Times New Roman" w:eastAsia="Times New Roman" w:hAnsi="Times New Roman"/>
          <w:bCs/>
          <w:sz w:val="18"/>
          <w:szCs w:val="18"/>
          <w:lang w:eastAsia="ru-RU"/>
        </w:rPr>
        <w:t xml:space="preserve"> </w:t>
      </w:r>
    </w:p>
    <w:p w:rsidR="000B6235" w:rsidRPr="00661CAA"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осуществления сотрудниками </w:t>
      </w:r>
      <w:r w:rsidR="0048155A" w:rsidRPr="00661CAA">
        <w:rPr>
          <w:rFonts w:ascii="Times New Roman" w:eastAsia="Times New Roman" w:hAnsi="Times New Roman"/>
          <w:bCs/>
          <w:sz w:val="18"/>
          <w:szCs w:val="18"/>
          <w:lang w:eastAsia="ru-RU"/>
        </w:rPr>
        <w:t>Банка</w:t>
      </w:r>
      <w:r w:rsidRPr="00661CAA">
        <w:rPr>
          <w:rFonts w:ascii="Times New Roman" w:eastAsia="Times New Roman" w:hAnsi="Times New Roman"/>
          <w:bCs/>
          <w:sz w:val="18"/>
          <w:szCs w:val="18"/>
          <w:lang w:eastAsia="ru-RU"/>
        </w:rPr>
        <w:t xml:space="preserve"> противоправных действий, связанных с</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хранением и/или учетом прав на ценные бумаги Клиента;</w:t>
      </w:r>
      <w:r w:rsidR="000B6235" w:rsidRPr="00661CAA">
        <w:rPr>
          <w:rFonts w:ascii="Times New Roman" w:eastAsia="Times New Roman" w:hAnsi="Times New Roman"/>
          <w:bCs/>
          <w:sz w:val="18"/>
          <w:szCs w:val="18"/>
          <w:lang w:eastAsia="ru-RU"/>
        </w:rPr>
        <w:t xml:space="preserve"> </w:t>
      </w:r>
    </w:p>
    <w:p w:rsidR="002871BA" w:rsidRPr="00661CAA"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необеспечения (ненадлежащего обеспечение) прав по ценным бумагам </w:t>
      </w:r>
      <w:r w:rsidR="00FB40CD" w:rsidRPr="00661CAA">
        <w:rPr>
          <w:rFonts w:ascii="Times New Roman" w:eastAsia="Times New Roman" w:hAnsi="Times New Roman"/>
          <w:bCs/>
          <w:sz w:val="18"/>
          <w:szCs w:val="18"/>
          <w:lang w:eastAsia="ru-RU"/>
        </w:rPr>
        <w:t>Клиента</w:t>
      </w:r>
      <w:r w:rsidRPr="00661CAA">
        <w:rPr>
          <w:rFonts w:ascii="Times New Roman" w:eastAsia="Times New Roman" w:hAnsi="Times New Roman"/>
          <w:bCs/>
          <w:sz w:val="18"/>
          <w:szCs w:val="18"/>
          <w:lang w:eastAsia="ru-RU"/>
        </w:rPr>
        <w:t>;</w:t>
      </w:r>
      <w:r w:rsidR="000B6235" w:rsidRPr="00661CAA">
        <w:rPr>
          <w:rFonts w:ascii="Times New Roman" w:eastAsia="Times New Roman" w:hAnsi="Times New Roman"/>
          <w:bCs/>
          <w:sz w:val="18"/>
          <w:szCs w:val="18"/>
          <w:lang w:eastAsia="ru-RU"/>
        </w:rPr>
        <w:t xml:space="preserve"> </w:t>
      </w:r>
    </w:p>
    <w:p w:rsidR="000B6235" w:rsidRPr="00661CAA"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несвоевременного (ненадлежащего исполнения) сделок при совмещении брокерской и</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депозитарной деятельности;</w:t>
      </w:r>
      <w:r w:rsidR="000B6235" w:rsidRPr="00661CAA">
        <w:rPr>
          <w:rFonts w:ascii="Times New Roman" w:eastAsia="Times New Roman" w:hAnsi="Times New Roman"/>
          <w:bCs/>
          <w:sz w:val="18"/>
          <w:szCs w:val="18"/>
          <w:lang w:eastAsia="ru-RU"/>
        </w:rPr>
        <w:t xml:space="preserve"> </w:t>
      </w:r>
    </w:p>
    <w:p w:rsidR="000B2FD4" w:rsidRPr="00661CAA" w:rsidRDefault="000B2FD4" w:rsidP="002D1B7B">
      <w:pPr>
        <w:pStyle w:val="a3"/>
        <w:widowControl w:val="0"/>
        <w:autoSpaceDE w:val="0"/>
        <w:autoSpaceDN w:val="0"/>
        <w:spacing w:after="0" w:line="240" w:lineRule="auto"/>
        <w:ind w:left="567"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недостаточно полного раскрытия информации в связи с осуществлением</w:t>
      </w:r>
      <w:r w:rsidR="000B6235"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профессиональной деятельности.</w:t>
      </w:r>
    </w:p>
    <w:p w:rsidR="000B2FD4" w:rsidRPr="00661CAA" w:rsidRDefault="000B2FD4" w:rsidP="00034B60">
      <w:pPr>
        <w:pStyle w:val="a3"/>
        <w:widowControl w:val="0"/>
        <w:numPr>
          <w:ilvl w:val="1"/>
          <w:numId w:val="10"/>
        </w:numPr>
        <w:autoSpaceDE w:val="0"/>
        <w:autoSpaceDN w:val="0"/>
        <w:spacing w:after="0" w:line="240" w:lineRule="auto"/>
        <w:ind w:left="567" w:hanging="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При совмещении профессиональной деятельности с деятельностью кредитной организации,</w:t>
      </w:r>
      <w:r w:rsidR="002D1B7B"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возникает риск нанесения ущерба Клиенту при отзыве лицензии кредитной</w:t>
      </w:r>
      <w:r w:rsidR="0048155A"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организации, который влечет за собой аннулирование лицензии профессионального участника.</w:t>
      </w:r>
    </w:p>
    <w:p w:rsidR="00B6335A" w:rsidRPr="00661CAA" w:rsidRDefault="000B2FD4" w:rsidP="00034B60">
      <w:pPr>
        <w:pStyle w:val="a3"/>
        <w:widowControl w:val="0"/>
        <w:numPr>
          <w:ilvl w:val="1"/>
          <w:numId w:val="10"/>
        </w:numPr>
        <w:autoSpaceDE w:val="0"/>
        <w:autoSpaceDN w:val="0"/>
        <w:spacing w:after="0" w:line="240" w:lineRule="auto"/>
        <w:ind w:left="567" w:hanging="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При совмещении нескольких видов профессиональной деятельности или профессиональной</w:t>
      </w:r>
      <w:r w:rsidR="002D1B7B"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деятельности с иными видами деятельности, существует риск возникновения недостаточности</w:t>
      </w:r>
      <w:r w:rsidR="002D1B7B" w:rsidRPr="00661CAA">
        <w:rPr>
          <w:rFonts w:ascii="Times New Roman" w:eastAsia="Times New Roman" w:hAnsi="Times New Roman"/>
          <w:bCs/>
          <w:sz w:val="18"/>
          <w:szCs w:val="18"/>
          <w:lang w:eastAsia="ru-RU"/>
        </w:rPr>
        <w:t xml:space="preserve"> </w:t>
      </w:r>
      <w:r w:rsidRPr="00661CAA">
        <w:rPr>
          <w:rFonts w:ascii="Times New Roman" w:eastAsia="Times New Roman" w:hAnsi="Times New Roman"/>
          <w:bCs/>
          <w:sz w:val="18"/>
          <w:szCs w:val="18"/>
          <w:lang w:eastAsia="ru-RU"/>
        </w:rPr>
        <w:t>капитала для исполнения всех обязательств по возврату финансовых активов.</w:t>
      </w:r>
    </w:p>
    <w:p w:rsidR="00F91758" w:rsidRPr="00661CAA" w:rsidRDefault="00F91758" w:rsidP="00F91758">
      <w:pPr>
        <w:pStyle w:val="a3"/>
        <w:widowControl w:val="0"/>
        <w:autoSpaceDE w:val="0"/>
        <w:autoSpaceDN w:val="0"/>
        <w:spacing w:after="0" w:line="240" w:lineRule="auto"/>
        <w:ind w:left="567"/>
        <w:jc w:val="both"/>
        <w:rPr>
          <w:rFonts w:ascii="Times New Roman" w:eastAsia="Times New Roman" w:hAnsi="Times New Roman"/>
          <w:bCs/>
          <w:sz w:val="18"/>
          <w:szCs w:val="18"/>
          <w:lang w:eastAsia="ru-RU"/>
        </w:rPr>
      </w:pPr>
    </w:p>
    <w:p w:rsidR="00F91758" w:rsidRPr="00661CAA" w:rsidRDefault="00F91758" w:rsidP="00034B60">
      <w:pPr>
        <w:pStyle w:val="a3"/>
        <w:widowControl w:val="0"/>
        <w:numPr>
          <w:ilvl w:val="0"/>
          <w:numId w:val="10"/>
        </w:numPr>
        <w:autoSpaceDE w:val="0"/>
        <w:autoSpaceDN w:val="0"/>
        <w:spacing w:after="0" w:line="240" w:lineRule="auto"/>
        <w:jc w:val="center"/>
        <w:rPr>
          <w:rFonts w:ascii="Times New Roman" w:eastAsia="Times New Roman" w:hAnsi="Times New Roman"/>
          <w:b/>
          <w:bCs/>
          <w:sz w:val="18"/>
          <w:szCs w:val="18"/>
          <w:lang w:eastAsia="ru-RU"/>
        </w:rPr>
      </w:pPr>
      <w:r w:rsidRPr="00661CAA">
        <w:rPr>
          <w:rFonts w:ascii="Times New Roman" w:eastAsia="Times New Roman" w:hAnsi="Times New Roman"/>
          <w:b/>
          <w:bCs/>
          <w:sz w:val="18"/>
          <w:szCs w:val="18"/>
          <w:lang w:eastAsia="ru-RU"/>
        </w:rPr>
        <w:t xml:space="preserve">Риски, связанные с использованием </w:t>
      </w:r>
      <w:r w:rsidR="00083099" w:rsidRPr="00661CAA">
        <w:rPr>
          <w:rFonts w:ascii="Times New Roman" w:eastAsia="Times New Roman" w:hAnsi="Times New Roman"/>
          <w:b/>
          <w:bCs/>
          <w:sz w:val="18"/>
          <w:szCs w:val="18"/>
          <w:lang w:eastAsia="ru-RU"/>
        </w:rPr>
        <w:t>Банк</w:t>
      </w:r>
      <w:r w:rsidRPr="00661CAA">
        <w:rPr>
          <w:rFonts w:ascii="Times New Roman" w:eastAsia="Times New Roman" w:hAnsi="Times New Roman"/>
          <w:b/>
          <w:bCs/>
          <w:sz w:val="18"/>
          <w:szCs w:val="18"/>
          <w:lang w:eastAsia="ru-RU"/>
        </w:rPr>
        <w:t>ом в своих интересах денежных средств и (или) ценных бумаг Клиента</w:t>
      </w:r>
    </w:p>
    <w:p w:rsidR="002871BA" w:rsidRPr="00661CAA" w:rsidRDefault="002871BA" w:rsidP="002871BA">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Использование денежных средств и (или) ценных бумаг клиента в интересах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а - зачисление денежных средств и (или) ценных бумаг на собственный счет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а, либо использование их для обеспечения исполнения и (или) для исполнения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ом собственных обязательств и (или) обязательств, подлежащих исполнению за счет других его клиентов</w:t>
      </w:r>
      <w:r w:rsidR="00A373E0" w:rsidRPr="00661CAA">
        <w:rPr>
          <w:rFonts w:ascii="Times New Roman" w:eastAsia="Times New Roman" w:hAnsi="Times New Roman"/>
          <w:bCs/>
          <w:sz w:val="18"/>
          <w:szCs w:val="18"/>
          <w:lang w:eastAsia="ru-RU"/>
        </w:rPr>
        <w:t xml:space="preserve">. </w:t>
      </w:r>
    </w:p>
    <w:p w:rsidR="00AF5E66" w:rsidRPr="00661CAA" w:rsidRDefault="00AF5E66" w:rsidP="00AF5E66">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При использовании Банком в своих интересах денежных средств и (или) ценных бумаг Клиента существует </w:t>
      </w:r>
      <w:r w:rsidR="00D37F7F" w:rsidRPr="00661CAA">
        <w:rPr>
          <w:rFonts w:ascii="Times New Roman" w:eastAsia="Times New Roman" w:hAnsi="Times New Roman"/>
          <w:bCs/>
          <w:sz w:val="18"/>
          <w:szCs w:val="18"/>
          <w:lang w:eastAsia="ru-RU"/>
        </w:rPr>
        <w:t xml:space="preserve">риск неисполнения Банком некоторых обязательств перед Клиентом, а также </w:t>
      </w:r>
      <w:r w:rsidRPr="00661CAA">
        <w:rPr>
          <w:rFonts w:ascii="Times New Roman" w:eastAsia="Times New Roman" w:hAnsi="Times New Roman"/>
          <w:bCs/>
          <w:sz w:val="18"/>
          <w:szCs w:val="18"/>
          <w:lang w:eastAsia="ru-RU"/>
        </w:rPr>
        <w:t>риск возникновения недостаточности капитала для исполнения всех обязательств по возврату финансовых активов</w:t>
      </w:r>
      <w:r w:rsidR="00D37F7F" w:rsidRPr="00661CAA">
        <w:rPr>
          <w:rFonts w:ascii="Times New Roman" w:eastAsia="Times New Roman" w:hAnsi="Times New Roman"/>
          <w:bCs/>
          <w:sz w:val="18"/>
          <w:szCs w:val="18"/>
          <w:lang w:eastAsia="ru-RU"/>
        </w:rPr>
        <w:t xml:space="preserve"> и некоторые виды</w:t>
      </w:r>
      <w:r w:rsidRPr="00661CAA">
        <w:rPr>
          <w:rFonts w:ascii="Times New Roman" w:eastAsia="Times New Roman" w:hAnsi="Times New Roman"/>
          <w:bCs/>
          <w:sz w:val="18"/>
          <w:szCs w:val="18"/>
          <w:lang w:eastAsia="ru-RU"/>
        </w:rPr>
        <w:t xml:space="preserve"> операционны</w:t>
      </w:r>
      <w:r w:rsidR="00D37F7F" w:rsidRPr="00661CAA">
        <w:rPr>
          <w:rFonts w:ascii="Times New Roman" w:eastAsia="Times New Roman" w:hAnsi="Times New Roman"/>
          <w:bCs/>
          <w:sz w:val="18"/>
          <w:szCs w:val="18"/>
          <w:lang w:eastAsia="ru-RU"/>
        </w:rPr>
        <w:t>х</w:t>
      </w:r>
      <w:r w:rsidRPr="00661CAA">
        <w:rPr>
          <w:rFonts w:ascii="Times New Roman" w:eastAsia="Times New Roman" w:hAnsi="Times New Roman"/>
          <w:bCs/>
          <w:sz w:val="18"/>
          <w:szCs w:val="18"/>
          <w:lang w:eastAsia="ru-RU"/>
        </w:rPr>
        <w:t xml:space="preserve"> риск</w:t>
      </w:r>
      <w:r w:rsidR="00D37F7F" w:rsidRPr="00661CAA">
        <w:rPr>
          <w:rFonts w:ascii="Times New Roman" w:eastAsia="Times New Roman" w:hAnsi="Times New Roman"/>
          <w:bCs/>
          <w:sz w:val="18"/>
          <w:szCs w:val="18"/>
          <w:lang w:eastAsia="ru-RU"/>
        </w:rPr>
        <w:t>ов</w:t>
      </w:r>
      <w:r w:rsidRPr="00661CAA">
        <w:rPr>
          <w:rFonts w:ascii="Times New Roman" w:eastAsia="Times New Roman" w:hAnsi="Times New Roman"/>
          <w:bCs/>
          <w:sz w:val="18"/>
          <w:szCs w:val="18"/>
          <w:lang w:eastAsia="ru-RU"/>
        </w:rPr>
        <w:t>.</w:t>
      </w:r>
    </w:p>
    <w:p w:rsidR="00D37F7F" w:rsidRPr="00661CAA" w:rsidRDefault="00D37F7F" w:rsidP="00D37F7F">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Под рисками, связанными с использованием Банком в своих интересах денежных средств и (или) ценных бумаг Клиента, понимается также возможность нанесения ущерба Клиенту вследствие: </w:t>
      </w:r>
    </w:p>
    <w:p w:rsidR="00D37F7F" w:rsidRPr="00661CAA" w:rsidRDefault="00D37F7F" w:rsidP="00D37F7F">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возникновения конфликта интересов, а именно, нарушения принципа приоритетности интересов Клиента, перед интересами Банка, которые могут привести в результате действий (бездействия) Банка и его сотрудников к убыткам и/или неблагоприятным последствиям для Клиента; </w:t>
      </w:r>
    </w:p>
    <w:p w:rsidR="00D37F7F" w:rsidRPr="00661CAA" w:rsidRDefault="00D37F7F" w:rsidP="00D37F7F">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противоправного распоряжения сотрудниками Банка ценными бумагами и денежными средствами Клиента; </w:t>
      </w:r>
    </w:p>
    <w:p w:rsidR="00D37F7F" w:rsidRPr="00661CAA" w:rsidRDefault="00D37F7F" w:rsidP="00D37F7F">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осуществления сотрудниками Банка противоправных действий, связанных с хранением и/или учетом прав на ценные бумаги Клиента; </w:t>
      </w:r>
    </w:p>
    <w:p w:rsidR="00D37F7F" w:rsidRPr="00661CAA" w:rsidRDefault="00D37F7F" w:rsidP="00D37F7F">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необеспечения (ненадлежащего обеспечени</w:t>
      </w:r>
      <w:r w:rsidR="00437450" w:rsidRPr="00661CAA">
        <w:rPr>
          <w:rFonts w:ascii="Times New Roman" w:eastAsia="Times New Roman" w:hAnsi="Times New Roman"/>
          <w:bCs/>
          <w:sz w:val="18"/>
          <w:szCs w:val="18"/>
          <w:lang w:eastAsia="ru-RU"/>
        </w:rPr>
        <w:t>я</w:t>
      </w:r>
      <w:r w:rsidRPr="00661CAA">
        <w:rPr>
          <w:rFonts w:ascii="Times New Roman" w:eastAsia="Times New Roman" w:hAnsi="Times New Roman"/>
          <w:bCs/>
          <w:sz w:val="18"/>
          <w:szCs w:val="18"/>
          <w:lang w:eastAsia="ru-RU"/>
        </w:rPr>
        <w:t xml:space="preserve">) прав по ценным бумагам Клиента; </w:t>
      </w:r>
    </w:p>
    <w:p w:rsidR="00D37F7F" w:rsidRPr="00661CAA" w:rsidRDefault="00D37F7F" w:rsidP="00D37F7F">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 несвоевременного (ненадлежащего исполнения) сделок. </w:t>
      </w:r>
    </w:p>
    <w:p w:rsidR="00AF5E66" w:rsidRPr="00661CAA" w:rsidRDefault="00AF5E66" w:rsidP="002871BA">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Банк принима</w:t>
      </w:r>
      <w:r w:rsidR="00437450" w:rsidRPr="00661CAA">
        <w:rPr>
          <w:rFonts w:ascii="Times New Roman" w:eastAsia="Times New Roman" w:hAnsi="Times New Roman"/>
          <w:bCs/>
          <w:sz w:val="18"/>
          <w:szCs w:val="18"/>
          <w:lang w:eastAsia="ru-RU"/>
        </w:rPr>
        <w:t>ет</w:t>
      </w:r>
      <w:r w:rsidRPr="00661CAA">
        <w:rPr>
          <w:rFonts w:ascii="Times New Roman" w:eastAsia="Times New Roman" w:hAnsi="Times New Roman"/>
          <w:bCs/>
          <w:sz w:val="18"/>
          <w:szCs w:val="18"/>
          <w:lang w:eastAsia="ru-RU"/>
        </w:rPr>
        <w:t xml:space="preserve"> меры по минимизации рисков, однако не может исключить их полностью. Клиент должен внимательно ознакомиться с проектом договора для того, чтобы оценить, какие полномочия по использованию его имущества будет иметь Банк, каковы правила его хранения, а также возврата.</w:t>
      </w:r>
    </w:p>
    <w:p w:rsidR="00A54BD3" w:rsidRPr="00661CAA" w:rsidRDefault="00B24661" w:rsidP="002871BA">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 xml:space="preserve">Клиент вправе подать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 xml:space="preserve">у заявление об отказе от предоставления </w:t>
      </w:r>
      <w:r w:rsidR="00083099" w:rsidRPr="00661CAA">
        <w:rPr>
          <w:rFonts w:ascii="Times New Roman" w:eastAsia="Times New Roman" w:hAnsi="Times New Roman"/>
          <w:bCs/>
          <w:sz w:val="18"/>
          <w:szCs w:val="18"/>
          <w:lang w:eastAsia="ru-RU"/>
        </w:rPr>
        <w:t>Банк</w:t>
      </w:r>
      <w:r w:rsidRPr="00661CAA">
        <w:rPr>
          <w:rFonts w:ascii="Times New Roman" w:eastAsia="Times New Roman" w:hAnsi="Times New Roman"/>
          <w:bCs/>
          <w:sz w:val="18"/>
          <w:szCs w:val="18"/>
          <w:lang w:eastAsia="ru-RU"/>
        </w:rPr>
        <w:t>у права использования в своих интересах денежных средств и (или) ценных бумаг клиента</w:t>
      </w:r>
      <w:r w:rsidR="00730002" w:rsidRPr="00661CAA">
        <w:rPr>
          <w:rFonts w:ascii="Times New Roman" w:eastAsia="Times New Roman" w:hAnsi="Times New Roman"/>
          <w:bCs/>
          <w:sz w:val="18"/>
          <w:szCs w:val="18"/>
          <w:lang w:eastAsia="ru-RU"/>
        </w:rPr>
        <w:t xml:space="preserve">. </w:t>
      </w:r>
      <w:r w:rsidR="00140064" w:rsidRPr="00661CAA">
        <w:rPr>
          <w:rFonts w:ascii="Times New Roman" w:eastAsia="Times New Roman" w:hAnsi="Times New Roman"/>
          <w:bCs/>
          <w:sz w:val="18"/>
          <w:szCs w:val="18"/>
          <w:lang w:eastAsia="ru-RU"/>
        </w:rPr>
        <w:t xml:space="preserve">В случае направления Заявления об отказе от предоставления Банку права использования в своих интересах денежные средства и (или) ценных бумаг </w:t>
      </w:r>
      <w:r w:rsidR="00DE75F1" w:rsidRPr="00661CAA">
        <w:rPr>
          <w:rFonts w:ascii="Times New Roman" w:eastAsia="Times New Roman" w:hAnsi="Times New Roman"/>
          <w:bCs/>
          <w:sz w:val="18"/>
          <w:szCs w:val="18"/>
          <w:lang w:eastAsia="ru-RU"/>
        </w:rPr>
        <w:t xml:space="preserve">объем оказываемых </w:t>
      </w:r>
      <w:r w:rsidR="00140064" w:rsidRPr="00661CAA">
        <w:rPr>
          <w:rFonts w:ascii="Times New Roman" w:eastAsia="Times New Roman" w:hAnsi="Times New Roman"/>
          <w:bCs/>
          <w:sz w:val="18"/>
          <w:szCs w:val="18"/>
          <w:lang w:eastAsia="ru-RU"/>
        </w:rPr>
        <w:t>Клиент</w:t>
      </w:r>
      <w:r w:rsidR="00DE75F1" w:rsidRPr="00661CAA">
        <w:rPr>
          <w:rFonts w:ascii="Times New Roman" w:eastAsia="Times New Roman" w:hAnsi="Times New Roman"/>
          <w:bCs/>
          <w:sz w:val="18"/>
          <w:szCs w:val="18"/>
          <w:lang w:eastAsia="ru-RU"/>
        </w:rPr>
        <w:t>у</w:t>
      </w:r>
      <w:r w:rsidR="00140064" w:rsidRPr="00661CAA">
        <w:rPr>
          <w:rFonts w:ascii="Times New Roman" w:eastAsia="Times New Roman" w:hAnsi="Times New Roman"/>
          <w:bCs/>
          <w:sz w:val="18"/>
          <w:szCs w:val="18"/>
          <w:lang w:eastAsia="ru-RU"/>
        </w:rPr>
        <w:t xml:space="preserve"> </w:t>
      </w:r>
      <w:r w:rsidR="00DE75F1" w:rsidRPr="00661CAA">
        <w:rPr>
          <w:rFonts w:ascii="Times New Roman" w:eastAsia="Times New Roman" w:hAnsi="Times New Roman"/>
          <w:bCs/>
          <w:sz w:val="18"/>
          <w:szCs w:val="18"/>
          <w:lang w:eastAsia="ru-RU"/>
        </w:rPr>
        <w:t xml:space="preserve">услуг на финансовом рынке через Систему </w:t>
      </w:r>
      <w:r w:rsidR="00140064" w:rsidRPr="00661CAA">
        <w:rPr>
          <w:rFonts w:ascii="Times New Roman" w:eastAsia="Times New Roman" w:hAnsi="Times New Roman"/>
          <w:bCs/>
          <w:sz w:val="18"/>
          <w:szCs w:val="18"/>
          <w:lang w:eastAsia="ru-RU"/>
        </w:rPr>
        <w:t xml:space="preserve">ДБО </w:t>
      </w:r>
      <w:r w:rsidR="00DE75F1" w:rsidRPr="00661CAA">
        <w:rPr>
          <w:rFonts w:ascii="Times New Roman" w:eastAsia="Times New Roman" w:hAnsi="Times New Roman"/>
          <w:bCs/>
          <w:sz w:val="18"/>
          <w:szCs w:val="18"/>
          <w:lang w:eastAsia="ru-RU"/>
        </w:rPr>
        <w:t xml:space="preserve">будет ограничен, в том числе в части способов подачи поручений на торговые и неторговые операции, </w:t>
      </w:r>
      <w:r w:rsidR="00140064" w:rsidRPr="00661CAA">
        <w:rPr>
          <w:rFonts w:ascii="Times New Roman" w:eastAsia="Times New Roman" w:hAnsi="Times New Roman"/>
          <w:bCs/>
          <w:sz w:val="18"/>
          <w:szCs w:val="18"/>
          <w:lang w:eastAsia="ru-RU"/>
        </w:rPr>
        <w:t xml:space="preserve">с момента получения такого заявления Банком. </w:t>
      </w:r>
      <w:r w:rsidR="00DE75F1" w:rsidRPr="00661CAA">
        <w:rPr>
          <w:rFonts w:ascii="Times New Roman" w:eastAsia="Times New Roman" w:hAnsi="Times New Roman"/>
          <w:bCs/>
          <w:sz w:val="18"/>
          <w:szCs w:val="18"/>
          <w:lang w:eastAsia="ru-RU"/>
        </w:rPr>
        <w:t xml:space="preserve">С указанной даты подача поручений возможна будет </w:t>
      </w:r>
      <w:r w:rsidR="00140064" w:rsidRPr="00661CAA">
        <w:rPr>
          <w:rFonts w:ascii="Times New Roman" w:eastAsia="Times New Roman" w:hAnsi="Times New Roman"/>
          <w:bCs/>
          <w:sz w:val="18"/>
          <w:szCs w:val="18"/>
          <w:lang w:eastAsia="ru-RU"/>
        </w:rPr>
        <w:t>путем предоставления оригиналов документов на бумажном носителе либо иным способом, установленным Банком.</w:t>
      </w:r>
    </w:p>
    <w:p w:rsidR="00B24661" w:rsidRPr="00661CAA" w:rsidRDefault="00A54BD3" w:rsidP="002871BA">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r w:rsidRPr="00661CAA">
        <w:rPr>
          <w:rFonts w:ascii="Times New Roman" w:eastAsia="Times New Roman" w:hAnsi="Times New Roman"/>
          <w:bCs/>
          <w:sz w:val="18"/>
          <w:szCs w:val="18"/>
          <w:lang w:eastAsia="ru-RU"/>
        </w:rPr>
        <w:t>Банк принимает Заявление об отказе от предоставления Банку права использования в своих интересах денежные средства и (или) ценные бумаги клиента по форме Приложения № 40 к Регламенту об отказе от предоставления ПАО «Совкомбанк» права использования в своих интересах денежные средства и (или) ценные бумаги клиента, на бумажном носителе по адресу: 123100, г. Москва, Краснопресненская набережная, д. 14, стр. 1</w:t>
      </w:r>
      <w:r w:rsidR="00801BB4" w:rsidRPr="00661CAA">
        <w:rPr>
          <w:rFonts w:ascii="Times New Roman" w:eastAsia="Times New Roman" w:hAnsi="Times New Roman"/>
          <w:bCs/>
          <w:sz w:val="18"/>
          <w:szCs w:val="18"/>
          <w:lang w:eastAsia="ru-RU"/>
        </w:rPr>
        <w:t>.</w:t>
      </w:r>
    </w:p>
    <w:p w:rsidR="00F148E4" w:rsidRPr="00661CAA" w:rsidRDefault="00F148E4" w:rsidP="002871BA">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p>
    <w:p w:rsidR="00E30D2C" w:rsidRPr="00661CAA" w:rsidRDefault="00E30D2C" w:rsidP="00E30D2C">
      <w:pPr>
        <w:pStyle w:val="a3"/>
        <w:widowControl w:val="0"/>
        <w:numPr>
          <w:ilvl w:val="0"/>
          <w:numId w:val="10"/>
        </w:numPr>
        <w:autoSpaceDE w:val="0"/>
        <w:autoSpaceDN w:val="0"/>
        <w:spacing w:after="0" w:line="240" w:lineRule="auto"/>
        <w:jc w:val="center"/>
        <w:rPr>
          <w:rFonts w:ascii="Times New Roman" w:eastAsia="Times New Roman" w:hAnsi="Times New Roman"/>
          <w:b/>
          <w:bCs/>
          <w:sz w:val="18"/>
          <w:szCs w:val="18"/>
          <w:lang w:eastAsia="ru-RU"/>
        </w:rPr>
      </w:pPr>
      <w:r w:rsidRPr="00661CAA">
        <w:rPr>
          <w:rFonts w:ascii="Times New Roman" w:eastAsia="Times New Roman" w:hAnsi="Times New Roman"/>
          <w:b/>
          <w:bCs/>
          <w:sz w:val="17"/>
          <w:szCs w:val="17"/>
          <w:lang w:eastAsia="ru-RU"/>
        </w:rPr>
        <w:t>Риски, связанные с заключением сделок по приобретению ценных бумаг в период первоначального публичного предложения ценных бумаг</w:t>
      </w:r>
    </w:p>
    <w:p w:rsidR="00E30D2C" w:rsidRPr="00661CAA" w:rsidRDefault="00E30D2C" w:rsidP="002871BA">
      <w:pPr>
        <w:pStyle w:val="a3"/>
        <w:widowControl w:val="0"/>
        <w:autoSpaceDE w:val="0"/>
        <w:autoSpaceDN w:val="0"/>
        <w:spacing w:after="0" w:line="240" w:lineRule="auto"/>
        <w:ind w:left="0" w:firstLine="567"/>
        <w:jc w:val="both"/>
        <w:rPr>
          <w:rFonts w:ascii="Times New Roman" w:eastAsia="Times New Roman" w:hAnsi="Times New Roman"/>
          <w:bCs/>
          <w:sz w:val="18"/>
          <w:szCs w:val="18"/>
          <w:lang w:eastAsia="ru-RU"/>
        </w:rPr>
      </w:pPr>
    </w:p>
    <w:p w:rsidR="00E30D2C" w:rsidRPr="00661CAA" w:rsidRDefault="00E30D2C" w:rsidP="000B6235">
      <w:pPr>
        <w:widowControl w:val="0"/>
        <w:autoSpaceDE w:val="0"/>
        <w:autoSpaceDN w:val="0"/>
        <w:spacing w:after="0" w:line="240" w:lineRule="auto"/>
        <w:ind w:firstLine="567"/>
        <w:jc w:val="both"/>
        <w:rPr>
          <w:rFonts w:ascii="Times New Roman" w:eastAsia="Times New Roman" w:hAnsi="Times New Roman"/>
          <w:b/>
          <w:bCs/>
          <w:sz w:val="18"/>
          <w:szCs w:val="18"/>
          <w:lang w:eastAsia="ru-RU"/>
        </w:rPr>
      </w:pPr>
    </w:p>
    <w:p w:rsidR="00E30D2C" w:rsidRPr="00661CAA" w:rsidRDefault="00E30D2C" w:rsidP="00E30D2C">
      <w:pPr>
        <w:pStyle w:val="a3"/>
        <w:widowControl w:val="0"/>
        <w:autoSpaceDE w:val="0"/>
        <w:autoSpaceDN w:val="0"/>
        <w:spacing w:after="0" w:line="240" w:lineRule="auto"/>
        <w:ind w:left="0" w:firstLine="567"/>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При направлении Клиентом Банку поручения на участие в размещении ценных бумаг (на приобретение ценных бумаг в период первоначального публичного предложения ценных бумаг, далее — IPO) Клиент принимает на себя общие риски, связанные с совершением сделки по приобретению ценных бумаг, присущие указанной сделке и указанной ценной бумаге, так и повышенные специфические риски, описанные ниже.</w:t>
      </w:r>
    </w:p>
    <w:p w:rsidR="00E30D2C" w:rsidRPr="00661CAA" w:rsidRDefault="00E30D2C" w:rsidP="00E30D2C">
      <w:pPr>
        <w:pStyle w:val="a3"/>
        <w:widowControl w:val="0"/>
        <w:autoSpaceDE w:val="0"/>
        <w:autoSpaceDN w:val="0"/>
        <w:spacing w:after="0" w:line="240" w:lineRule="auto"/>
        <w:ind w:left="0" w:firstLine="567"/>
        <w:jc w:val="both"/>
        <w:rPr>
          <w:rFonts w:ascii="Times New Roman" w:eastAsia="Times New Roman" w:hAnsi="Times New Roman"/>
          <w:bCs/>
          <w:sz w:val="17"/>
          <w:szCs w:val="17"/>
          <w:lang w:eastAsia="ru-RU"/>
        </w:rPr>
      </w:pPr>
    </w:p>
    <w:p w:rsidR="00E30D2C" w:rsidRPr="00661CAA" w:rsidRDefault="00E30D2C" w:rsidP="00E30D2C">
      <w:pPr>
        <w:spacing w:after="0" w:line="240" w:lineRule="auto"/>
        <w:jc w:val="both"/>
        <w:rPr>
          <w:rFonts w:ascii="Times New Roman" w:eastAsia="Times New Roman" w:hAnsi="Times New Roman"/>
          <w:b/>
          <w:bCs/>
          <w:sz w:val="17"/>
          <w:szCs w:val="17"/>
          <w:lang w:eastAsia="ru-RU"/>
        </w:rPr>
      </w:pPr>
      <w:r w:rsidRPr="00661CAA">
        <w:rPr>
          <w:rFonts w:ascii="Times New Roman" w:eastAsia="Times New Roman" w:hAnsi="Times New Roman"/>
          <w:b/>
          <w:bCs/>
          <w:sz w:val="17"/>
          <w:szCs w:val="17"/>
          <w:lang w:eastAsia="ru-RU"/>
        </w:rPr>
        <w:t xml:space="preserve">Рыночный риск </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В связи с направлением Клиентом Банку поручения на совершение сделки по приобретению ценных бумаг в период IPO Клиент несет рыночные риски, связанные с тем, что:</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цена, по которой Банком будет совершена сделка в период IPO, может существенно отклониться от цены размещения, сформированной в ходе IPO по причинам экономического характера;</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ценные бумаги, размещенные в ходе IPO, не имеют исторической цены до начала организованных торгов, любые предположения относительно стоимости ценной бумаги до завершения IPO являются оценочными;</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Банк не может прогнозировать направление движения цены ценной бумаги в период проведения IPO;</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после завершения IPO возможна высокая волатильность цены ценной бумаги, резкое изменение рыночной цены ценной бумаги, связанное с продажей в ходе проведения организованных торгов большого объема ценных бумаг, размещенных в ходе IPO;</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в результате IPO мажоритарный акционер эмитента ценных бумаг может утратить корпоративный контроль над эмитентом, при этом Клиент уведомлен о том, что условия конкретного IPO могут содержать / не содержать ограничений на участие в IPO мажоритарных акционеров, ограничений на совершение мажоритарными акционерами сделок с размещаемыми ценными бумагами в период, предшествующий проведению IPO / период проведения IPO / период, следующий за проведением IPO;</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после завершения IPO возможен повышенный спрэд (разница) между ценой спроса и ценой предложения в ходе проведения организованных торгов;</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в период IPO, а также после завершения IPO возможна повышенная активность лиц, участвующих (участвовавших) в приобретении ценных бумаг, которые не планируют долгосрочные инвестиции в указанные ценные бумаги;</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возможно отсутствие участника (-ов) торгов, поддерживающего (-их) двусторонние котировки в ходе организованных торгов, следующих за датой завершения IPO;</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финансовые результаты эмитента ценных бумаг, размещаемых в ходе IPO, не влияют на результаты IPO, в том числе на цену размещения;</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рыночная цена, сформированная в ходе организованных торгов, после завершения IPO, может существенно отличаться от цены размещения;</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Банку заранее не известна аллокация ценных бумаг среди участников размещения ценных бумаг в ходе IPO.</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xml:space="preserve">Банк не гарантирует Клиенту, направившему Банку поручение, заключение сделки с ценными бумагами в период IPO. </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p>
    <w:p w:rsidR="00E30D2C" w:rsidRPr="00661CAA" w:rsidRDefault="00E30D2C" w:rsidP="00E30D2C">
      <w:pPr>
        <w:spacing w:after="0" w:line="240" w:lineRule="auto"/>
        <w:jc w:val="both"/>
        <w:rPr>
          <w:rFonts w:ascii="Times New Roman" w:eastAsia="Times New Roman" w:hAnsi="Times New Roman"/>
          <w:b/>
          <w:bCs/>
          <w:sz w:val="17"/>
          <w:szCs w:val="17"/>
          <w:lang w:eastAsia="ru-RU"/>
        </w:rPr>
      </w:pPr>
      <w:r w:rsidRPr="00661CAA">
        <w:rPr>
          <w:rFonts w:ascii="Times New Roman" w:eastAsia="Times New Roman" w:hAnsi="Times New Roman"/>
          <w:b/>
          <w:bCs/>
          <w:sz w:val="17"/>
          <w:szCs w:val="17"/>
          <w:lang w:eastAsia="ru-RU"/>
        </w:rPr>
        <w:t xml:space="preserve">Системный риск </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xml:space="preserve">Приобретение ценных бумаг, участвующих в IPO связано с повышенным системным риском из-за корреляции системных рисков и специфических рисков, связанных с заключением сделок по приобретению ценных бумаг в период IPO. </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
          <w:bCs/>
          <w:sz w:val="17"/>
          <w:szCs w:val="17"/>
          <w:lang w:eastAsia="ru-RU"/>
        </w:rPr>
        <w:t>Операционный риск</w:t>
      </w:r>
      <w:r w:rsidRPr="00661CAA">
        <w:rPr>
          <w:rFonts w:ascii="Times New Roman" w:eastAsia="Times New Roman" w:hAnsi="Times New Roman"/>
          <w:bCs/>
          <w:sz w:val="17"/>
          <w:szCs w:val="17"/>
          <w:lang w:eastAsia="ru-RU"/>
        </w:rPr>
        <w:t xml:space="preserve"> </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xml:space="preserve">Клиент, направивший Банку поручение на заключение сделки по приобретению ценных бумаг в период IPO, несет повышенный операционный риск из-за роста количества посредников при операциях с ценными бумагами, увеличения протяженности каналов передачи данных и количества связующих их звеньев и узлов. </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
          <w:bCs/>
          <w:sz w:val="17"/>
          <w:szCs w:val="17"/>
          <w:lang w:eastAsia="ru-RU"/>
        </w:rPr>
        <w:t>Информационный риск</w:t>
      </w:r>
      <w:r w:rsidRPr="00661CAA">
        <w:rPr>
          <w:rFonts w:ascii="Times New Roman" w:eastAsia="Times New Roman" w:hAnsi="Times New Roman"/>
          <w:bCs/>
          <w:sz w:val="17"/>
          <w:szCs w:val="17"/>
          <w:lang w:eastAsia="ru-RU"/>
        </w:rPr>
        <w:t xml:space="preserve"> </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xml:space="preserve">При совершении операций с ценными бумагами в период IPO необходимо учитывать особенности раскрытия информации об IPO, а также большой объем информационных событий, связанных с ценными бумагами. </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xml:space="preserve">Клиент уведомлен о вероятности различной интерпретации информационных событий, связанных с ценными бумагами, эмитентом ценных бумаг, а также с размещением ценных бумаг в период IPO. </w:t>
      </w:r>
    </w:p>
    <w:p w:rsidR="00E30D2C" w:rsidRPr="00661CAA" w:rsidRDefault="00E30D2C" w:rsidP="00E30D2C">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 xml:space="preserve">Законодательство Российской Федерации допускает раскрытие информации в отношении ценных бумаг иностранных эмитентов по правилам, действующим за рубежом, и на иностранном языке. </w:t>
      </w:r>
    </w:p>
    <w:p w:rsidR="00296332" w:rsidRPr="00661CAA" w:rsidRDefault="00E30D2C" w:rsidP="00296332">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В связи с этим, Клиент уведомлен о том, что условия размещения ценных бумаг в ходе IPO, которые содержатся в проспекте ценных бумаг, изложены на иностранном языке.</w:t>
      </w:r>
    </w:p>
    <w:p w:rsidR="00296332" w:rsidRPr="00661CAA" w:rsidRDefault="00296332" w:rsidP="00296332">
      <w:pPr>
        <w:spacing w:after="0" w:line="240" w:lineRule="auto"/>
        <w:jc w:val="both"/>
        <w:rPr>
          <w:rFonts w:ascii="Times New Roman" w:eastAsia="Times New Roman" w:hAnsi="Times New Roman"/>
          <w:bCs/>
          <w:sz w:val="17"/>
          <w:szCs w:val="17"/>
          <w:lang w:eastAsia="ru-RU"/>
        </w:rPr>
      </w:pPr>
    </w:p>
    <w:p w:rsidR="00296332" w:rsidRPr="00661CAA" w:rsidRDefault="00296332" w:rsidP="00296332">
      <w:pPr>
        <w:spacing w:after="0" w:line="240" w:lineRule="auto"/>
        <w:jc w:val="both"/>
        <w:rPr>
          <w:rFonts w:ascii="Times New Roman" w:eastAsia="Times New Roman" w:hAnsi="Times New Roman"/>
          <w:bCs/>
          <w:sz w:val="17"/>
          <w:szCs w:val="17"/>
          <w:lang w:eastAsia="ru-RU"/>
        </w:rPr>
      </w:pPr>
      <w:r w:rsidRPr="00661CAA">
        <w:rPr>
          <w:rFonts w:ascii="Times New Roman" w:eastAsia="Times New Roman" w:hAnsi="Times New Roman"/>
          <w:bCs/>
          <w:sz w:val="17"/>
          <w:szCs w:val="17"/>
          <w:lang w:eastAsia="ru-RU"/>
        </w:rPr>
        <w:t>Перечень рисков, связанных с заключением сделок по приобретению ценных бумаг в период IPO, не является исчерпывающим.</w:t>
      </w:r>
    </w:p>
    <w:p w:rsidR="00296332" w:rsidRPr="00661CAA" w:rsidRDefault="00296332" w:rsidP="00E30D2C">
      <w:pPr>
        <w:spacing w:after="0" w:line="240" w:lineRule="auto"/>
        <w:jc w:val="both"/>
        <w:rPr>
          <w:rFonts w:ascii="Times New Roman" w:hAnsi="Times New Roman"/>
          <w:sz w:val="17"/>
          <w:szCs w:val="17"/>
        </w:rPr>
      </w:pPr>
    </w:p>
    <w:p w:rsidR="00296332" w:rsidRPr="00661CAA" w:rsidRDefault="002900CB" w:rsidP="00296332">
      <w:pPr>
        <w:spacing w:after="0" w:line="240" w:lineRule="auto"/>
        <w:jc w:val="both"/>
        <w:rPr>
          <w:rFonts w:ascii="Times New Roman" w:hAnsi="Times New Roman"/>
          <w:color w:val="000000" w:themeColor="text1"/>
          <w:sz w:val="17"/>
          <w:szCs w:val="17"/>
        </w:rPr>
      </w:pPr>
      <w:r w:rsidRPr="00661CAA">
        <w:rPr>
          <w:rFonts w:ascii="Times New Roman" w:hAnsi="Times New Roman"/>
          <w:color w:val="000000" w:themeColor="text1"/>
          <w:sz w:val="17"/>
          <w:szCs w:val="17"/>
        </w:rPr>
        <w:t>Банк</w:t>
      </w:r>
      <w:r w:rsidR="00296332" w:rsidRPr="00661CAA">
        <w:rPr>
          <w:rFonts w:ascii="Times New Roman" w:hAnsi="Times New Roman"/>
          <w:color w:val="000000" w:themeColor="text1"/>
          <w:sz w:val="17"/>
          <w:szCs w:val="17"/>
        </w:rPr>
        <w:t xml:space="preserve"> до заключения договора с Клиентом информирует Клиента:</w:t>
      </w:r>
    </w:p>
    <w:p w:rsidR="004C3F97" w:rsidRPr="00661CAA" w:rsidRDefault="00296332" w:rsidP="00296332">
      <w:pPr>
        <w:spacing w:after="0" w:line="240" w:lineRule="auto"/>
        <w:jc w:val="both"/>
        <w:rPr>
          <w:rFonts w:ascii="Times New Roman" w:hAnsi="Times New Roman"/>
          <w:color w:val="000000" w:themeColor="text1"/>
          <w:sz w:val="17"/>
          <w:szCs w:val="17"/>
        </w:rPr>
      </w:pPr>
      <w:r w:rsidRPr="00661CAA">
        <w:rPr>
          <w:rFonts w:ascii="Times New Roman" w:hAnsi="Times New Roman"/>
          <w:color w:val="000000" w:themeColor="text1"/>
          <w:sz w:val="17"/>
          <w:szCs w:val="17"/>
        </w:rPr>
        <w:t xml:space="preserve">- о том, что денежные средства, зачисляемые брокером на специальный брокерский счет (счета), или переданные брокеру, являющемуся кредитной организацией, не подлежат страхованию в соответствии с Федеральным законом от 23 </w:t>
      </w:r>
      <w:r w:rsidR="004C3F97" w:rsidRPr="00661CAA">
        <w:rPr>
          <w:rFonts w:ascii="Times New Roman" w:hAnsi="Times New Roman"/>
          <w:color w:val="000000" w:themeColor="text1"/>
          <w:sz w:val="17"/>
          <w:szCs w:val="17"/>
        </w:rPr>
        <w:t>декабря 2003 года № 177-ФЗ «О страховании вкладов в банках Российской Федерации»;</w:t>
      </w:r>
    </w:p>
    <w:p w:rsidR="00296332" w:rsidRPr="00661CAA" w:rsidRDefault="00296332" w:rsidP="00296332">
      <w:pPr>
        <w:spacing w:after="0" w:line="240" w:lineRule="auto"/>
        <w:jc w:val="both"/>
        <w:rPr>
          <w:rFonts w:ascii="Times New Roman" w:hAnsi="Times New Roman"/>
          <w:color w:val="000000" w:themeColor="text1"/>
          <w:sz w:val="17"/>
          <w:szCs w:val="17"/>
        </w:rPr>
      </w:pPr>
      <w:r w:rsidRPr="00661CAA">
        <w:rPr>
          <w:rFonts w:ascii="Times New Roman" w:hAnsi="Times New Roman"/>
          <w:color w:val="000000" w:themeColor="text1"/>
          <w:sz w:val="17"/>
          <w:szCs w:val="17"/>
        </w:rPr>
        <w:t>- о праве Клиента на получение по его запросу информации о видах и суммах платежей (порядке определения сумм платежей), которые получатель финансовой услуги должен будет уплатить за предоставление ему финансовой услуги, включая информацию о размере вознаграждения (порядке определения размера вознаграждения) брокера и порядке его уплаты;</w:t>
      </w:r>
    </w:p>
    <w:p w:rsidR="00296332" w:rsidRPr="00661CAA" w:rsidRDefault="00296332" w:rsidP="00E30D2C">
      <w:pPr>
        <w:spacing w:after="0" w:line="240" w:lineRule="auto"/>
        <w:jc w:val="both"/>
        <w:rPr>
          <w:rFonts w:ascii="Times New Roman" w:hAnsi="Times New Roman"/>
          <w:color w:val="000000" w:themeColor="text1"/>
          <w:sz w:val="17"/>
          <w:szCs w:val="17"/>
        </w:rPr>
      </w:pPr>
      <w:r w:rsidRPr="00661CAA">
        <w:rPr>
          <w:rFonts w:ascii="Times New Roman" w:hAnsi="Times New Roman"/>
          <w:color w:val="000000" w:themeColor="text1"/>
          <w:sz w:val="17"/>
          <w:szCs w:val="17"/>
        </w:rPr>
        <w:t xml:space="preserve">- о праве </w:t>
      </w:r>
      <w:r w:rsidR="002900CB" w:rsidRPr="00661CAA">
        <w:rPr>
          <w:rFonts w:ascii="Times New Roman" w:hAnsi="Times New Roman"/>
          <w:color w:val="000000" w:themeColor="text1"/>
          <w:sz w:val="17"/>
          <w:szCs w:val="17"/>
        </w:rPr>
        <w:t xml:space="preserve">Клиента </w:t>
      </w:r>
      <w:r w:rsidRPr="00661CAA">
        <w:rPr>
          <w:rFonts w:ascii="Times New Roman" w:hAnsi="Times New Roman"/>
          <w:color w:val="000000" w:themeColor="text1"/>
          <w:sz w:val="17"/>
          <w:szCs w:val="17"/>
        </w:rPr>
        <w:t>на получение по запросу</w:t>
      </w:r>
      <w:r w:rsidR="002900CB" w:rsidRPr="00661CAA">
        <w:rPr>
          <w:rFonts w:ascii="Times New Roman" w:hAnsi="Times New Roman"/>
          <w:color w:val="000000" w:themeColor="text1"/>
          <w:sz w:val="17"/>
          <w:szCs w:val="17"/>
        </w:rPr>
        <w:t xml:space="preserve"> Клиента </w:t>
      </w:r>
      <w:r w:rsidRPr="00661CAA">
        <w:rPr>
          <w:rFonts w:ascii="Times New Roman" w:hAnsi="Times New Roman"/>
          <w:color w:val="000000" w:themeColor="text1"/>
          <w:sz w:val="17"/>
          <w:szCs w:val="17"/>
        </w:rPr>
        <w:t>информации, указанной в пунктах 2.6 - 2.8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(утв. Банком России, Протокол от 20.12.2018 № КФНП-39).</w:t>
      </w:r>
    </w:p>
    <w:p w:rsidR="002900CB" w:rsidRPr="00661CAA" w:rsidRDefault="002900CB" w:rsidP="00E30D2C">
      <w:pPr>
        <w:spacing w:after="0" w:line="240" w:lineRule="auto"/>
        <w:jc w:val="both"/>
        <w:rPr>
          <w:rFonts w:ascii="Times New Roman" w:hAnsi="Times New Roman"/>
          <w:sz w:val="17"/>
          <w:szCs w:val="17"/>
        </w:rPr>
      </w:pPr>
    </w:p>
    <w:p w:rsidR="00E30D2C" w:rsidRPr="00661CAA" w:rsidRDefault="00E30D2C" w:rsidP="00E30D2C">
      <w:pPr>
        <w:widowControl w:val="0"/>
        <w:autoSpaceDE w:val="0"/>
        <w:autoSpaceDN w:val="0"/>
        <w:spacing w:after="0" w:line="240" w:lineRule="auto"/>
        <w:ind w:firstLine="567"/>
        <w:jc w:val="both"/>
        <w:rPr>
          <w:rFonts w:ascii="Times New Roman" w:eastAsia="Times New Roman" w:hAnsi="Times New Roman"/>
          <w:b/>
          <w:bCs/>
          <w:sz w:val="18"/>
          <w:szCs w:val="18"/>
          <w:lang w:eastAsia="ru-RU"/>
        </w:rPr>
      </w:pPr>
    </w:p>
    <w:p w:rsidR="00B24661" w:rsidRPr="00661CAA" w:rsidRDefault="00A373E0" w:rsidP="000B6235">
      <w:pPr>
        <w:widowControl w:val="0"/>
        <w:autoSpaceDE w:val="0"/>
        <w:autoSpaceDN w:val="0"/>
        <w:spacing w:after="0" w:line="240" w:lineRule="auto"/>
        <w:ind w:firstLine="567"/>
        <w:jc w:val="both"/>
        <w:rPr>
          <w:rFonts w:ascii="Times New Roman" w:eastAsia="Times New Roman" w:hAnsi="Times New Roman"/>
          <w:b/>
          <w:bCs/>
          <w:sz w:val="18"/>
          <w:szCs w:val="18"/>
          <w:lang w:eastAsia="ru-RU"/>
        </w:rPr>
      </w:pPr>
      <w:r w:rsidRPr="00661CAA">
        <w:rPr>
          <w:rFonts w:ascii="Times New Roman" w:eastAsia="Times New Roman" w:hAnsi="Times New Roman"/>
          <w:b/>
          <w:bCs/>
          <w:sz w:val="18"/>
          <w:szCs w:val="18"/>
          <w:lang w:eastAsia="ru-RU"/>
        </w:rPr>
        <w:t>Перечень рисков, описанных в настоящей Декларации, не является исчерпывающим.</w:t>
      </w:r>
    </w:p>
    <w:p w:rsidR="00A373E0" w:rsidRPr="00661CAA" w:rsidRDefault="00A373E0" w:rsidP="00381CE7">
      <w:pPr>
        <w:widowControl w:val="0"/>
        <w:autoSpaceDE w:val="0"/>
        <w:autoSpaceDN w:val="0"/>
        <w:spacing w:after="0" w:line="240" w:lineRule="auto"/>
        <w:ind w:firstLine="600"/>
        <w:jc w:val="both"/>
        <w:rPr>
          <w:rFonts w:ascii="Times New Roman" w:eastAsia="Times New Roman" w:hAnsi="Times New Roman"/>
          <w:b/>
          <w:bCs/>
          <w:sz w:val="18"/>
          <w:szCs w:val="18"/>
          <w:lang w:eastAsia="ru-RU"/>
        </w:rPr>
      </w:pPr>
    </w:p>
    <w:p w:rsidR="00381CE7" w:rsidRPr="00661CAA" w:rsidRDefault="00381CE7" w:rsidP="00381CE7">
      <w:pPr>
        <w:widowControl w:val="0"/>
        <w:autoSpaceDE w:val="0"/>
        <w:autoSpaceDN w:val="0"/>
        <w:spacing w:after="0" w:line="240" w:lineRule="auto"/>
        <w:ind w:firstLine="600"/>
        <w:jc w:val="both"/>
        <w:rPr>
          <w:rFonts w:ascii="Times New Roman" w:eastAsia="Times New Roman" w:hAnsi="Times New Roman"/>
          <w:b/>
          <w:bCs/>
          <w:sz w:val="18"/>
          <w:szCs w:val="18"/>
          <w:lang w:eastAsia="ru-RU"/>
        </w:rPr>
      </w:pPr>
      <w:r w:rsidRPr="00661CAA">
        <w:rPr>
          <w:rFonts w:ascii="Times New Roman" w:eastAsia="Times New Roman" w:hAnsi="Times New Roman"/>
          <w:b/>
          <w:bCs/>
          <w:sz w:val="18"/>
          <w:szCs w:val="18"/>
          <w:lang w:eastAsia="ru-RU"/>
        </w:rPr>
        <w:t xml:space="preserve">Также считаем необходимым отметить, что все вышесказанное не имеет целью заставить </w:t>
      </w:r>
      <w:r w:rsidR="00DF4588" w:rsidRPr="00661CAA">
        <w:rPr>
          <w:rFonts w:ascii="Times New Roman" w:eastAsia="Times New Roman" w:hAnsi="Times New Roman"/>
          <w:b/>
          <w:bCs/>
          <w:sz w:val="18"/>
          <w:szCs w:val="18"/>
          <w:lang w:eastAsia="ru-RU"/>
        </w:rPr>
        <w:t xml:space="preserve">Клиента </w:t>
      </w:r>
      <w:r w:rsidRPr="00661CAA">
        <w:rPr>
          <w:rFonts w:ascii="Times New Roman" w:eastAsia="Times New Roman" w:hAnsi="Times New Roman"/>
          <w:b/>
          <w:bCs/>
          <w:sz w:val="18"/>
          <w:szCs w:val="18"/>
          <w:lang w:eastAsia="ru-RU"/>
        </w:rPr>
        <w:t>отказаться от осуществления операций на финансовом рынке в РФ,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rsidR="00381CE7" w:rsidRPr="00661CAA" w:rsidRDefault="00381CE7" w:rsidP="00724CA4">
      <w:pPr>
        <w:widowControl w:val="0"/>
        <w:autoSpaceDE w:val="0"/>
        <w:autoSpaceDN w:val="0"/>
        <w:adjustRightInd w:val="0"/>
        <w:spacing w:after="0" w:line="240" w:lineRule="auto"/>
        <w:ind w:firstLine="600"/>
        <w:jc w:val="both"/>
        <w:rPr>
          <w:rFonts w:ascii="Times New Roman" w:eastAsia="Times New Roman" w:hAnsi="Times New Roman"/>
          <w:b/>
          <w:bCs/>
          <w:sz w:val="18"/>
          <w:szCs w:val="18"/>
          <w:lang w:eastAsia="ru-RU"/>
        </w:rPr>
      </w:pPr>
    </w:p>
    <w:p w:rsidR="00724CA4" w:rsidRPr="00661CAA" w:rsidRDefault="00724CA4" w:rsidP="00724CA4">
      <w:pPr>
        <w:widowControl w:val="0"/>
        <w:autoSpaceDE w:val="0"/>
        <w:autoSpaceDN w:val="0"/>
        <w:adjustRightInd w:val="0"/>
        <w:spacing w:after="0" w:line="240" w:lineRule="auto"/>
        <w:ind w:firstLine="600"/>
        <w:jc w:val="both"/>
        <w:rPr>
          <w:rFonts w:ascii="Times New Roman" w:eastAsia="Times New Roman" w:hAnsi="Times New Roman"/>
          <w:b/>
          <w:sz w:val="18"/>
          <w:szCs w:val="18"/>
          <w:lang w:eastAsia="ru-RU"/>
        </w:rPr>
      </w:pPr>
      <w:r w:rsidRPr="00661CAA">
        <w:rPr>
          <w:rFonts w:ascii="Times New Roman" w:eastAsia="Times New Roman" w:hAnsi="Times New Roman"/>
          <w:b/>
          <w:bCs/>
          <w:sz w:val="18"/>
          <w:szCs w:val="18"/>
          <w:lang w:eastAsia="ru-RU"/>
        </w:rPr>
        <w:t>Учитывая вышеизложенное, Банк рекомендует внимательно рассмотреть вопрос о том,</w:t>
      </w:r>
      <w:r w:rsidRPr="00661CAA">
        <w:rPr>
          <w:rFonts w:ascii="Times New Roman" w:eastAsia="Times New Roman" w:hAnsi="Times New Roman"/>
          <w:sz w:val="18"/>
          <w:szCs w:val="18"/>
          <w:lang w:eastAsia="ru-RU"/>
        </w:rPr>
        <w:t xml:space="preserve"> </w:t>
      </w:r>
      <w:r w:rsidRPr="00661CAA">
        <w:rPr>
          <w:rFonts w:ascii="Times New Roman" w:eastAsia="Times New Roman" w:hAnsi="Times New Roman"/>
          <w:b/>
          <w:bCs/>
          <w:sz w:val="18"/>
          <w:szCs w:val="18"/>
          <w:lang w:eastAsia="ru-RU"/>
        </w:rPr>
        <w:t>являются ли риски, возникающие при проведении соответствующих операций, приемлемыми</w:t>
      </w:r>
      <w:r w:rsidRPr="00661CAA">
        <w:rPr>
          <w:rFonts w:ascii="Times New Roman" w:eastAsia="Times New Roman" w:hAnsi="Times New Roman"/>
          <w:sz w:val="18"/>
          <w:szCs w:val="18"/>
          <w:lang w:eastAsia="ru-RU"/>
        </w:rPr>
        <w:t xml:space="preserve"> </w:t>
      </w:r>
      <w:r w:rsidRPr="00661CAA">
        <w:rPr>
          <w:rFonts w:ascii="Times New Roman" w:eastAsia="Times New Roman" w:hAnsi="Times New Roman"/>
          <w:b/>
          <w:bCs/>
          <w:sz w:val="18"/>
          <w:szCs w:val="18"/>
          <w:lang w:eastAsia="ru-RU"/>
        </w:rPr>
        <w:t>для Клиента с учетом инвестиционных целей и финансовых возможностей Клиента. Настоящая</w:t>
      </w:r>
      <w:r w:rsidRPr="00661CAA">
        <w:rPr>
          <w:rFonts w:ascii="Times New Roman" w:eastAsia="Times New Roman" w:hAnsi="Times New Roman"/>
          <w:sz w:val="18"/>
          <w:szCs w:val="18"/>
          <w:lang w:eastAsia="ru-RU"/>
        </w:rPr>
        <w:t xml:space="preserve"> </w:t>
      </w:r>
      <w:r w:rsidRPr="00661CAA">
        <w:rPr>
          <w:rFonts w:ascii="Times New Roman" w:eastAsia="Times New Roman" w:hAnsi="Times New Roman"/>
          <w:b/>
          <w:bCs/>
          <w:sz w:val="18"/>
          <w:szCs w:val="18"/>
          <w:lang w:eastAsia="ru-RU"/>
        </w:rPr>
        <w:t>Декларация о рисках не имеет своей целью заставить Клиента отказаться от</w:t>
      </w:r>
      <w:r w:rsidRPr="00661CAA">
        <w:rPr>
          <w:rFonts w:ascii="Times New Roman" w:eastAsia="Times New Roman" w:hAnsi="Times New Roman"/>
          <w:sz w:val="18"/>
          <w:szCs w:val="18"/>
          <w:lang w:eastAsia="ru-RU"/>
        </w:rPr>
        <w:t xml:space="preserve"> </w:t>
      </w:r>
      <w:r w:rsidRPr="00661CAA">
        <w:rPr>
          <w:rFonts w:ascii="Times New Roman" w:eastAsia="Times New Roman" w:hAnsi="Times New Roman"/>
          <w:b/>
          <w:bCs/>
          <w:sz w:val="18"/>
          <w:szCs w:val="18"/>
          <w:lang w:eastAsia="ru-RU"/>
        </w:rPr>
        <w:t>осуществления таких операций, а призвана помочь Клиенту оценить их риски и ответственно</w:t>
      </w:r>
      <w:r w:rsidRPr="00661CAA">
        <w:rPr>
          <w:rFonts w:ascii="Times New Roman" w:eastAsia="Times New Roman" w:hAnsi="Times New Roman"/>
          <w:sz w:val="18"/>
          <w:szCs w:val="18"/>
          <w:lang w:eastAsia="ru-RU"/>
        </w:rPr>
        <w:t xml:space="preserve"> </w:t>
      </w:r>
      <w:r w:rsidRPr="00661CAA">
        <w:rPr>
          <w:rFonts w:ascii="Times New Roman" w:eastAsia="Times New Roman" w:hAnsi="Times New Roman"/>
          <w:b/>
          <w:bCs/>
          <w:sz w:val="18"/>
          <w:szCs w:val="18"/>
          <w:lang w:eastAsia="ru-RU"/>
        </w:rPr>
        <w:t>подойти к решению вопроса о выборе инвестиционной стратегии и условий договора с</w:t>
      </w:r>
      <w:r w:rsidRPr="00661CAA">
        <w:rPr>
          <w:rFonts w:ascii="Times New Roman" w:eastAsia="Times New Roman" w:hAnsi="Times New Roman"/>
          <w:sz w:val="18"/>
          <w:szCs w:val="18"/>
          <w:lang w:eastAsia="ru-RU"/>
        </w:rPr>
        <w:t xml:space="preserve"> </w:t>
      </w:r>
      <w:r w:rsidRPr="00661CAA">
        <w:rPr>
          <w:rFonts w:ascii="Times New Roman" w:eastAsia="Times New Roman" w:hAnsi="Times New Roman"/>
          <w:b/>
          <w:bCs/>
          <w:sz w:val="18"/>
          <w:szCs w:val="18"/>
          <w:lang w:eastAsia="ru-RU"/>
        </w:rPr>
        <w:t>Банком.</w:t>
      </w:r>
    </w:p>
    <w:p w:rsidR="00724CA4" w:rsidRPr="00661CAA" w:rsidRDefault="00724CA4" w:rsidP="00724CA4">
      <w:pPr>
        <w:widowControl w:val="0"/>
        <w:autoSpaceDE w:val="0"/>
        <w:autoSpaceDN w:val="0"/>
        <w:spacing w:after="0" w:line="240" w:lineRule="auto"/>
        <w:ind w:left="567"/>
        <w:rPr>
          <w:rFonts w:ascii="Times New Roman" w:eastAsia="Times New Roman" w:hAnsi="Times New Roman"/>
          <w:spacing w:val="-4"/>
          <w:sz w:val="18"/>
          <w:szCs w:val="18"/>
          <w:lang w:eastAsia="ru-RU"/>
        </w:rPr>
      </w:pPr>
    </w:p>
    <w:p w:rsidR="00724CA4" w:rsidRPr="00661CAA" w:rsidRDefault="00724CA4" w:rsidP="00724CA4">
      <w:pPr>
        <w:widowControl w:val="0"/>
        <w:autoSpaceDE w:val="0"/>
        <w:autoSpaceDN w:val="0"/>
        <w:spacing w:after="0" w:line="240" w:lineRule="auto"/>
        <w:ind w:left="567"/>
        <w:rPr>
          <w:rFonts w:ascii="Times New Roman" w:eastAsia="Times New Roman" w:hAnsi="Times New Roman"/>
          <w:spacing w:val="-4"/>
          <w:sz w:val="18"/>
          <w:szCs w:val="18"/>
          <w:lang w:eastAsia="ru-RU"/>
        </w:rPr>
      </w:pPr>
    </w:p>
    <w:p w:rsidR="00CD6E7C" w:rsidRPr="00661CAA" w:rsidRDefault="00724CA4" w:rsidP="00724CA4">
      <w:pPr>
        <w:widowControl w:val="0"/>
        <w:tabs>
          <w:tab w:val="right" w:pos="8280"/>
        </w:tabs>
        <w:autoSpaceDE w:val="0"/>
        <w:autoSpaceDN w:val="0"/>
        <w:spacing w:after="0" w:line="240" w:lineRule="auto"/>
        <w:jc w:val="right"/>
        <w:rPr>
          <w:rFonts w:ascii="Times New Roman" w:eastAsia="Times New Roman" w:hAnsi="Times New Roman"/>
          <w:b/>
          <w:bCs/>
          <w:spacing w:val="-4"/>
          <w:sz w:val="18"/>
          <w:szCs w:val="18"/>
          <w:lang w:eastAsia="ru-RU"/>
        </w:rPr>
      </w:pPr>
      <w:r w:rsidRPr="00661CAA">
        <w:rPr>
          <w:rFonts w:ascii="Times New Roman" w:eastAsia="Times New Roman" w:hAnsi="Times New Roman"/>
          <w:b/>
          <w:bCs/>
          <w:spacing w:val="-4"/>
          <w:sz w:val="18"/>
          <w:szCs w:val="18"/>
          <w:lang w:eastAsia="ru-RU"/>
        </w:rPr>
        <w:t>Клиент: __________________________________________________________________________________</w:t>
      </w:r>
    </w:p>
    <w:p w:rsidR="00CD6E7C" w:rsidRPr="00661CAA" w:rsidRDefault="00CD6E7C" w:rsidP="00724CA4">
      <w:pPr>
        <w:widowControl w:val="0"/>
        <w:tabs>
          <w:tab w:val="right" w:pos="8280"/>
        </w:tabs>
        <w:autoSpaceDE w:val="0"/>
        <w:autoSpaceDN w:val="0"/>
        <w:spacing w:after="0" w:line="240" w:lineRule="auto"/>
        <w:jc w:val="right"/>
        <w:rPr>
          <w:rFonts w:ascii="Times New Roman" w:eastAsia="Times New Roman" w:hAnsi="Times New Roman"/>
          <w:b/>
          <w:bCs/>
          <w:spacing w:val="-4"/>
          <w:sz w:val="18"/>
          <w:szCs w:val="18"/>
          <w:lang w:eastAsia="ru-RU"/>
        </w:rPr>
      </w:pPr>
    </w:p>
    <w:p w:rsidR="00CD6E7C" w:rsidRPr="00661CAA" w:rsidRDefault="00CD6E7C" w:rsidP="00724CA4">
      <w:pPr>
        <w:widowControl w:val="0"/>
        <w:tabs>
          <w:tab w:val="right" w:pos="8280"/>
        </w:tabs>
        <w:autoSpaceDE w:val="0"/>
        <w:autoSpaceDN w:val="0"/>
        <w:spacing w:after="0" w:line="240" w:lineRule="auto"/>
        <w:jc w:val="right"/>
        <w:rPr>
          <w:rFonts w:ascii="Times New Roman" w:eastAsia="Times New Roman" w:hAnsi="Times New Roman"/>
          <w:b/>
          <w:bCs/>
          <w:spacing w:val="-4"/>
          <w:sz w:val="18"/>
          <w:szCs w:val="18"/>
          <w:lang w:eastAsia="ru-RU"/>
        </w:rPr>
      </w:pPr>
    </w:p>
    <w:p w:rsidR="00724CA4" w:rsidRPr="00661CAA" w:rsidRDefault="00724CA4" w:rsidP="00724CA4">
      <w:pPr>
        <w:widowControl w:val="0"/>
        <w:tabs>
          <w:tab w:val="right" w:pos="8280"/>
        </w:tabs>
        <w:autoSpaceDE w:val="0"/>
        <w:autoSpaceDN w:val="0"/>
        <w:spacing w:after="0" w:line="240" w:lineRule="auto"/>
        <w:jc w:val="right"/>
        <w:rPr>
          <w:rFonts w:ascii="Times New Roman" w:eastAsia="Times New Roman" w:hAnsi="Times New Roman"/>
          <w:spacing w:val="-4"/>
          <w:sz w:val="18"/>
          <w:szCs w:val="18"/>
          <w:lang w:eastAsia="ru-RU"/>
        </w:rPr>
      </w:pPr>
      <w:r w:rsidRPr="00661CAA">
        <w:rPr>
          <w:rFonts w:ascii="Times New Roman" w:eastAsia="Times New Roman" w:hAnsi="Times New Roman"/>
          <w:spacing w:val="-4"/>
          <w:sz w:val="18"/>
          <w:szCs w:val="18"/>
          <w:lang w:eastAsia="ru-RU"/>
        </w:rPr>
        <w:t>_____________________________/__________________________/</w:t>
      </w:r>
    </w:p>
    <w:p w:rsidR="00724CA4" w:rsidRPr="00661CAA" w:rsidRDefault="00724CA4" w:rsidP="00724CA4">
      <w:pPr>
        <w:widowControl w:val="0"/>
        <w:tabs>
          <w:tab w:val="left" w:pos="0"/>
        </w:tabs>
        <w:autoSpaceDE w:val="0"/>
        <w:autoSpaceDN w:val="0"/>
        <w:spacing w:after="0" w:line="240" w:lineRule="auto"/>
        <w:ind w:left="567" w:hanging="283"/>
        <w:jc w:val="center"/>
        <w:rPr>
          <w:rFonts w:ascii="Times New Roman" w:eastAsia="Times New Roman" w:hAnsi="Times New Roman"/>
          <w:spacing w:val="-4"/>
          <w:sz w:val="18"/>
          <w:szCs w:val="18"/>
          <w:lang w:eastAsia="ru-RU"/>
        </w:rPr>
      </w:pPr>
      <w:r w:rsidRPr="00661CAA">
        <w:rPr>
          <w:rFonts w:ascii="Times New Roman" w:eastAsia="Times New Roman" w:hAnsi="Times New Roman"/>
          <w:spacing w:val="-4"/>
          <w:sz w:val="18"/>
          <w:szCs w:val="18"/>
          <w:lang w:eastAsia="ru-RU"/>
        </w:rPr>
        <w:t xml:space="preserve">                                                                               </w:t>
      </w:r>
      <w:r w:rsidR="00254F6A" w:rsidRPr="00661CAA">
        <w:rPr>
          <w:rFonts w:ascii="Times New Roman" w:eastAsia="Times New Roman" w:hAnsi="Times New Roman"/>
          <w:spacing w:val="-4"/>
          <w:sz w:val="18"/>
          <w:szCs w:val="18"/>
          <w:lang w:eastAsia="ru-RU"/>
        </w:rPr>
        <w:tab/>
      </w:r>
      <w:r w:rsidR="00254F6A" w:rsidRPr="00661CAA">
        <w:rPr>
          <w:rFonts w:ascii="Times New Roman" w:eastAsia="Times New Roman" w:hAnsi="Times New Roman"/>
          <w:spacing w:val="-4"/>
          <w:sz w:val="18"/>
          <w:szCs w:val="18"/>
          <w:lang w:eastAsia="ru-RU"/>
        </w:rPr>
        <w:tab/>
      </w:r>
      <w:r w:rsidR="00254F6A" w:rsidRPr="00661CAA">
        <w:rPr>
          <w:rFonts w:ascii="Times New Roman" w:eastAsia="Times New Roman" w:hAnsi="Times New Roman"/>
          <w:spacing w:val="-4"/>
          <w:sz w:val="18"/>
          <w:szCs w:val="18"/>
          <w:lang w:eastAsia="ru-RU"/>
        </w:rPr>
        <w:tab/>
      </w:r>
      <w:r w:rsidRPr="00661CAA">
        <w:rPr>
          <w:rFonts w:ascii="Times New Roman" w:eastAsia="Times New Roman" w:hAnsi="Times New Roman"/>
          <w:spacing w:val="-4"/>
          <w:sz w:val="18"/>
          <w:szCs w:val="18"/>
          <w:lang w:eastAsia="ru-RU"/>
        </w:rPr>
        <w:t xml:space="preserve">  </w:t>
      </w:r>
      <w:r w:rsidR="00E85965" w:rsidRPr="00661CAA">
        <w:rPr>
          <w:rFonts w:ascii="Times New Roman" w:eastAsia="Times New Roman" w:hAnsi="Times New Roman"/>
          <w:spacing w:val="-4"/>
          <w:sz w:val="18"/>
          <w:szCs w:val="18"/>
          <w:lang w:eastAsia="ru-RU"/>
        </w:rPr>
        <w:t xml:space="preserve">    </w:t>
      </w:r>
      <w:r w:rsidR="00507000" w:rsidRPr="00661CAA">
        <w:rPr>
          <w:rFonts w:ascii="Times New Roman" w:eastAsia="Times New Roman" w:hAnsi="Times New Roman"/>
          <w:spacing w:val="-4"/>
          <w:sz w:val="18"/>
          <w:szCs w:val="18"/>
          <w:lang w:eastAsia="ru-RU"/>
        </w:rPr>
        <w:t>(Фамилия И.О.)</w:t>
      </w:r>
      <w:r w:rsidRPr="00661CAA">
        <w:rPr>
          <w:rFonts w:ascii="Times New Roman" w:eastAsia="Times New Roman" w:hAnsi="Times New Roman"/>
          <w:spacing w:val="-4"/>
          <w:sz w:val="18"/>
          <w:szCs w:val="18"/>
          <w:lang w:eastAsia="ru-RU"/>
        </w:rPr>
        <w:t xml:space="preserve">                                 </w:t>
      </w:r>
      <w:r w:rsidR="002A006B" w:rsidRPr="00661CAA">
        <w:rPr>
          <w:rFonts w:ascii="Times New Roman" w:eastAsia="Times New Roman" w:hAnsi="Times New Roman"/>
          <w:spacing w:val="-4"/>
          <w:sz w:val="18"/>
          <w:szCs w:val="18"/>
          <w:lang w:eastAsia="ru-RU"/>
        </w:rPr>
        <w:t xml:space="preserve">     </w:t>
      </w:r>
      <w:r w:rsidRPr="00661CAA">
        <w:rPr>
          <w:rFonts w:ascii="Times New Roman" w:eastAsia="Times New Roman" w:hAnsi="Times New Roman"/>
          <w:spacing w:val="-4"/>
          <w:sz w:val="18"/>
          <w:szCs w:val="18"/>
          <w:lang w:eastAsia="ru-RU"/>
        </w:rPr>
        <w:t xml:space="preserve">   (подпись) </w:t>
      </w:r>
      <w:r w:rsidRPr="00661CAA">
        <w:rPr>
          <w:rFonts w:ascii="Times New Roman" w:eastAsia="Times New Roman" w:hAnsi="Times New Roman"/>
          <w:spacing w:val="-4"/>
          <w:sz w:val="18"/>
          <w:szCs w:val="18"/>
          <w:lang w:eastAsia="ru-RU"/>
        </w:rPr>
        <w:tab/>
      </w:r>
    </w:p>
    <w:p w:rsidR="00507000" w:rsidRPr="00661CAA" w:rsidRDefault="00507000" w:rsidP="00724CA4">
      <w:pPr>
        <w:widowControl w:val="0"/>
        <w:tabs>
          <w:tab w:val="left" w:pos="0"/>
        </w:tabs>
        <w:autoSpaceDE w:val="0"/>
        <w:autoSpaceDN w:val="0"/>
        <w:spacing w:after="0" w:line="240" w:lineRule="auto"/>
        <w:ind w:left="567" w:hanging="283"/>
        <w:jc w:val="center"/>
        <w:rPr>
          <w:rFonts w:ascii="Times New Roman" w:eastAsia="Times New Roman" w:hAnsi="Times New Roman"/>
          <w:spacing w:val="-4"/>
          <w:sz w:val="18"/>
          <w:szCs w:val="18"/>
          <w:lang w:eastAsia="ru-RU"/>
        </w:rPr>
      </w:pPr>
    </w:p>
    <w:p w:rsidR="002A006B" w:rsidRPr="00661CAA" w:rsidRDefault="002A006B" w:rsidP="00724CA4">
      <w:pPr>
        <w:widowControl w:val="0"/>
        <w:tabs>
          <w:tab w:val="left" w:pos="0"/>
        </w:tabs>
        <w:autoSpaceDE w:val="0"/>
        <w:autoSpaceDN w:val="0"/>
        <w:spacing w:after="0" w:line="240" w:lineRule="auto"/>
        <w:ind w:left="567" w:hanging="283"/>
        <w:jc w:val="center"/>
        <w:rPr>
          <w:rFonts w:ascii="Times New Roman" w:eastAsia="Times New Roman" w:hAnsi="Times New Roman"/>
          <w:spacing w:val="-4"/>
          <w:sz w:val="18"/>
          <w:szCs w:val="18"/>
          <w:lang w:eastAsia="ru-RU"/>
        </w:rPr>
      </w:pPr>
    </w:p>
    <w:p w:rsidR="00724CA4" w:rsidRPr="00D50D99" w:rsidRDefault="00724CA4" w:rsidP="002A006B">
      <w:pPr>
        <w:widowControl w:val="0"/>
        <w:autoSpaceDE w:val="0"/>
        <w:autoSpaceDN w:val="0"/>
        <w:spacing w:after="0" w:line="240" w:lineRule="auto"/>
        <w:ind w:left="5760" w:firstLine="612"/>
        <w:rPr>
          <w:rFonts w:ascii="Times New Roman" w:eastAsia="Times New Roman" w:hAnsi="Times New Roman"/>
          <w:sz w:val="18"/>
          <w:szCs w:val="18"/>
          <w:lang w:eastAsia="ru-RU"/>
        </w:rPr>
      </w:pPr>
      <w:r w:rsidRPr="00661CAA">
        <w:rPr>
          <w:rFonts w:ascii="Times New Roman" w:eastAsia="Times New Roman" w:hAnsi="Times New Roman"/>
          <w:spacing w:val="-4"/>
          <w:sz w:val="18"/>
          <w:szCs w:val="18"/>
          <w:lang w:eastAsia="ru-RU"/>
        </w:rPr>
        <w:t>«____»__________________20___г</w:t>
      </w:r>
      <w:r w:rsidR="00CD6E7C" w:rsidRPr="00661CAA">
        <w:rPr>
          <w:rFonts w:ascii="Times New Roman" w:eastAsia="Times New Roman" w:hAnsi="Times New Roman"/>
          <w:spacing w:val="-4"/>
          <w:sz w:val="18"/>
          <w:szCs w:val="18"/>
          <w:lang w:eastAsia="ru-RU"/>
        </w:rPr>
        <w:t>.</w:t>
      </w:r>
    </w:p>
    <w:sectPr w:rsidR="00724CA4" w:rsidRPr="00D50D99" w:rsidSect="00254F6A">
      <w:headerReference w:type="default" r:id="rId8"/>
      <w:footerReference w:type="default" r:id="rId9"/>
      <w:pgSz w:w="11906" w:h="16838"/>
      <w:pgMar w:top="709" w:right="567" w:bottom="851" w:left="1701"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911" w:rsidRDefault="004C6911" w:rsidP="004F132E">
      <w:pPr>
        <w:spacing w:after="0" w:line="240" w:lineRule="auto"/>
      </w:pPr>
      <w:r>
        <w:separator/>
      </w:r>
    </w:p>
  </w:endnote>
  <w:endnote w:type="continuationSeparator" w:id="0">
    <w:p w:rsidR="004C6911" w:rsidRDefault="004C6911" w:rsidP="004F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863556271"/>
      <w:docPartObj>
        <w:docPartGallery w:val="Page Numbers (Bottom of Page)"/>
        <w:docPartUnique/>
      </w:docPartObj>
    </w:sdtPr>
    <w:sdtEndPr>
      <w:rPr>
        <w:rFonts w:ascii="Times New Roman" w:hAnsi="Times New Roman"/>
      </w:rPr>
    </w:sdtEndPr>
    <w:sdtContent>
      <w:sdt>
        <w:sdtPr>
          <w:rPr>
            <w:rFonts w:ascii="Times New Roman" w:hAnsi="Times New Roman"/>
            <w:sz w:val="14"/>
            <w:szCs w:val="14"/>
          </w:rPr>
          <w:id w:val="860082579"/>
          <w:docPartObj>
            <w:docPartGallery w:val="Page Numbers (Top of Page)"/>
            <w:docPartUnique/>
          </w:docPartObj>
        </w:sdtPr>
        <w:sdtEndPr/>
        <w:sdtContent>
          <w:p w:rsidR="00181155" w:rsidRPr="00254F6A" w:rsidRDefault="00181155">
            <w:pPr>
              <w:pStyle w:val="ac"/>
              <w:jc w:val="right"/>
              <w:rPr>
                <w:rFonts w:ascii="Times New Roman" w:hAnsi="Times New Roman"/>
                <w:sz w:val="14"/>
                <w:szCs w:val="14"/>
              </w:rPr>
            </w:pPr>
            <w:r w:rsidRPr="00254F6A">
              <w:rPr>
                <w:rFonts w:ascii="Times New Roman" w:hAnsi="Times New Roman"/>
                <w:sz w:val="14"/>
                <w:szCs w:val="14"/>
              </w:rPr>
              <w:t xml:space="preserve">Страница </w:t>
            </w:r>
            <w:r w:rsidRPr="00254F6A">
              <w:rPr>
                <w:rFonts w:ascii="Times New Roman" w:hAnsi="Times New Roman"/>
                <w:b/>
                <w:bCs/>
                <w:sz w:val="14"/>
                <w:szCs w:val="14"/>
              </w:rPr>
              <w:fldChar w:fldCharType="begin"/>
            </w:r>
            <w:r w:rsidRPr="00254F6A">
              <w:rPr>
                <w:rFonts w:ascii="Times New Roman" w:hAnsi="Times New Roman"/>
                <w:b/>
                <w:bCs/>
                <w:sz w:val="14"/>
                <w:szCs w:val="14"/>
              </w:rPr>
              <w:instrText>PAGE</w:instrText>
            </w:r>
            <w:r w:rsidRPr="00254F6A">
              <w:rPr>
                <w:rFonts w:ascii="Times New Roman" w:hAnsi="Times New Roman"/>
                <w:b/>
                <w:bCs/>
                <w:sz w:val="14"/>
                <w:szCs w:val="14"/>
              </w:rPr>
              <w:fldChar w:fldCharType="separate"/>
            </w:r>
            <w:r w:rsidR="00420837">
              <w:rPr>
                <w:rFonts w:ascii="Times New Roman" w:hAnsi="Times New Roman"/>
                <w:b/>
                <w:bCs/>
                <w:noProof/>
                <w:sz w:val="14"/>
                <w:szCs w:val="14"/>
              </w:rPr>
              <w:t>1</w:t>
            </w:r>
            <w:r w:rsidRPr="00254F6A">
              <w:rPr>
                <w:rFonts w:ascii="Times New Roman" w:hAnsi="Times New Roman"/>
                <w:b/>
                <w:bCs/>
                <w:sz w:val="14"/>
                <w:szCs w:val="14"/>
              </w:rPr>
              <w:fldChar w:fldCharType="end"/>
            </w:r>
            <w:r w:rsidRPr="00254F6A">
              <w:rPr>
                <w:rFonts w:ascii="Times New Roman" w:hAnsi="Times New Roman"/>
                <w:sz w:val="14"/>
                <w:szCs w:val="14"/>
              </w:rPr>
              <w:t xml:space="preserve"> из </w:t>
            </w:r>
            <w:r w:rsidRPr="00254F6A">
              <w:rPr>
                <w:rFonts w:ascii="Times New Roman" w:hAnsi="Times New Roman"/>
                <w:b/>
                <w:bCs/>
                <w:sz w:val="14"/>
                <w:szCs w:val="14"/>
              </w:rPr>
              <w:fldChar w:fldCharType="begin"/>
            </w:r>
            <w:r w:rsidRPr="00254F6A">
              <w:rPr>
                <w:rFonts w:ascii="Times New Roman" w:hAnsi="Times New Roman"/>
                <w:b/>
                <w:bCs/>
                <w:sz w:val="14"/>
                <w:szCs w:val="14"/>
              </w:rPr>
              <w:instrText>NUMPAGES</w:instrText>
            </w:r>
            <w:r w:rsidRPr="00254F6A">
              <w:rPr>
                <w:rFonts w:ascii="Times New Roman" w:hAnsi="Times New Roman"/>
                <w:b/>
                <w:bCs/>
                <w:sz w:val="14"/>
                <w:szCs w:val="14"/>
              </w:rPr>
              <w:fldChar w:fldCharType="separate"/>
            </w:r>
            <w:r w:rsidR="00420837">
              <w:rPr>
                <w:rFonts w:ascii="Times New Roman" w:hAnsi="Times New Roman"/>
                <w:b/>
                <w:bCs/>
                <w:noProof/>
                <w:sz w:val="14"/>
                <w:szCs w:val="14"/>
              </w:rPr>
              <w:t>11</w:t>
            </w:r>
            <w:r w:rsidRPr="00254F6A">
              <w:rPr>
                <w:rFonts w:ascii="Times New Roman" w:hAnsi="Times New Roman"/>
                <w:b/>
                <w:bCs/>
                <w:sz w:val="14"/>
                <w:szCs w:val="14"/>
              </w:rPr>
              <w:fldChar w:fldCharType="end"/>
            </w:r>
          </w:p>
        </w:sdtContent>
      </w:sdt>
    </w:sdtContent>
  </w:sdt>
  <w:p w:rsidR="00181155" w:rsidRDefault="0018115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911" w:rsidRDefault="004C6911" w:rsidP="004F132E">
      <w:pPr>
        <w:spacing w:after="0" w:line="240" w:lineRule="auto"/>
      </w:pPr>
      <w:r>
        <w:separator/>
      </w:r>
    </w:p>
  </w:footnote>
  <w:footnote w:type="continuationSeparator" w:id="0">
    <w:p w:rsidR="004C6911" w:rsidRDefault="004C6911" w:rsidP="004F1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5" w:rsidRDefault="00172EA5" w:rsidP="00172EA5">
    <w:pPr>
      <w:pStyle w:val="Style2"/>
      <w:widowControl/>
      <w:tabs>
        <w:tab w:val="left" w:pos="1200"/>
        <w:tab w:val="right" w:pos="9355"/>
      </w:tabs>
      <w:rPr>
        <w:rStyle w:val="FontStyle33"/>
        <w:rFonts w:ascii="Times New Roman" w:hAnsi="Times New Roman" w:cs="Times New Roman"/>
        <w:sz w:val="20"/>
        <w:szCs w:val="20"/>
      </w:rPr>
    </w:pPr>
    <w:r w:rsidRPr="00D324AE">
      <w:rPr>
        <w:rFonts w:ascii="Times New Roman" w:hAnsi="Times New Roman"/>
        <w:bCs/>
        <w:noProof/>
        <w:sz w:val="20"/>
        <w:szCs w:val="20"/>
      </w:rPr>
      <w:drawing>
        <wp:inline distT="0" distB="0" distL="0" distR="0" wp14:anchorId="32380ED4" wp14:editId="2B9D9FA7">
          <wp:extent cx="1478107" cy="352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8107" cy="352800"/>
                  </a:xfrm>
                  <a:prstGeom prst="rect">
                    <a:avLst/>
                  </a:prstGeom>
                  <a:noFill/>
                </pic:spPr>
              </pic:pic>
            </a:graphicData>
          </a:graphic>
        </wp:inline>
      </w:drawing>
    </w:r>
    <w:r w:rsidRPr="00D324AE">
      <w:rPr>
        <w:rStyle w:val="FontStyle33"/>
        <w:rFonts w:ascii="Times New Roman" w:hAnsi="Times New Roman" w:cs="Times New Roman"/>
        <w:sz w:val="20"/>
        <w:szCs w:val="20"/>
      </w:rPr>
      <w:t xml:space="preserve">                                                                                                                                                                            </w:t>
    </w:r>
  </w:p>
  <w:p w:rsidR="00172EA5" w:rsidRPr="00336E35" w:rsidRDefault="00172EA5" w:rsidP="00172EA5">
    <w:pPr>
      <w:pStyle w:val="Style2"/>
      <w:widowControl/>
      <w:tabs>
        <w:tab w:val="left" w:pos="1200"/>
        <w:tab w:val="right" w:pos="9355"/>
      </w:tabs>
      <w:jc w:val="right"/>
      <w:rPr>
        <w:rStyle w:val="FontStyle33"/>
        <w:rFonts w:ascii="Times New Roman" w:hAnsi="Times New Roman" w:cs="Times New Roman"/>
        <w:b w:val="0"/>
        <w:sz w:val="16"/>
        <w:szCs w:val="14"/>
      </w:rPr>
    </w:pPr>
    <w:r w:rsidRPr="00336E35">
      <w:rPr>
        <w:rStyle w:val="FontStyle33"/>
        <w:rFonts w:ascii="Times New Roman" w:hAnsi="Times New Roman" w:cs="Times New Roman"/>
        <w:b w:val="0"/>
        <w:sz w:val="16"/>
        <w:szCs w:val="14"/>
      </w:rPr>
      <w:t>Приложение 7</w:t>
    </w:r>
  </w:p>
  <w:p w:rsidR="00181155" w:rsidRPr="00336E35" w:rsidRDefault="00172EA5" w:rsidP="00172EA5">
    <w:pPr>
      <w:pStyle w:val="aa"/>
      <w:jc w:val="right"/>
      <w:rPr>
        <w:sz w:val="16"/>
        <w:szCs w:val="14"/>
      </w:rPr>
    </w:pPr>
    <w:r w:rsidRPr="00336E35">
      <w:rPr>
        <w:rStyle w:val="FontStyle33"/>
        <w:rFonts w:ascii="Times New Roman" w:hAnsi="Times New Roman" w:cs="Times New Roman"/>
        <w:b w:val="0"/>
        <w:sz w:val="16"/>
        <w:szCs w:val="14"/>
      </w:rPr>
      <w:t xml:space="preserve"> к Регламенту оказания услуг на финансовых рынках ПАО «Совкомбанк»</w:t>
    </w:r>
  </w:p>
  <w:p w:rsidR="00172EA5" w:rsidRDefault="00172EA5" w:rsidP="00172EA5">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CC9"/>
    <w:multiLevelType w:val="hybridMultilevel"/>
    <w:tmpl w:val="77D20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970422"/>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2" w15:restartNumberingAfterBreak="0">
    <w:nsid w:val="151A48EB"/>
    <w:multiLevelType w:val="hybridMultilevel"/>
    <w:tmpl w:val="0CEAE932"/>
    <w:lvl w:ilvl="0" w:tplc="09D6DC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1A991220"/>
    <w:multiLevelType w:val="hybridMultilevel"/>
    <w:tmpl w:val="195C38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15:restartNumberingAfterBreak="0">
    <w:nsid w:val="21A440BD"/>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5" w15:restartNumberingAfterBreak="0">
    <w:nsid w:val="227A696F"/>
    <w:multiLevelType w:val="hybridMultilevel"/>
    <w:tmpl w:val="569C37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625A7F"/>
    <w:multiLevelType w:val="hybridMultilevel"/>
    <w:tmpl w:val="06A64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7D0AE1"/>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8" w15:restartNumberingAfterBreak="0">
    <w:nsid w:val="5C3523F3"/>
    <w:multiLevelType w:val="hybridMultilevel"/>
    <w:tmpl w:val="5B10F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8A5900"/>
    <w:multiLevelType w:val="hybridMultilevel"/>
    <w:tmpl w:val="771C07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5746973"/>
    <w:multiLevelType w:val="hybridMultilevel"/>
    <w:tmpl w:val="215E6F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7"/>
  </w:num>
  <w:num w:numId="5">
    <w:abstractNumId w:val="0"/>
  </w:num>
  <w:num w:numId="6">
    <w:abstractNumId w:val="9"/>
  </w:num>
  <w:num w:numId="7">
    <w:abstractNumId w:val="1"/>
  </w:num>
  <w:num w:numId="8">
    <w:abstractNumId w:val="3"/>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74"/>
    <w:rsid w:val="00022C2E"/>
    <w:rsid w:val="00026DA9"/>
    <w:rsid w:val="00034B60"/>
    <w:rsid w:val="000445E4"/>
    <w:rsid w:val="000700AA"/>
    <w:rsid w:val="00083099"/>
    <w:rsid w:val="00085350"/>
    <w:rsid w:val="00086E91"/>
    <w:rsid w:val="000911D8"/>
    <w:rsid w:val="000947B1"/>
    <w:rsid w:val="000B1873"/>
    <w:rsid w:val="000B2647"/>
    <w:rsid w:val="000B2FD4"/>
    <w:rsid w:val="000B6235"/>
    <w:rsid w:val="000C61B5"/>
    <w:rsid w:val="000D4325"/>
    <w:rsid w:val="00115A50"/>
    <w:rsid w:val="00122CEA"/>
    <w:rsid w:val="0013119D"/>
    <w:rsid w:val="001336B9"/>
    <w:rsid w:val="00140064"/>
    <w:rsid w:val="001454EE"/>
    <w:rsid w:val="0016135D"/>
    <w:rsid w:val="0016277A"/>
    <w:rsid w:val="00172EA5"/>
    <w:rsid w:val="00181155"/>
    <w:rsid w:val="00184606"/>
    <w:rsid w:val="001B3577"/>
    <w:rsid w:val="001B4B37"/>
    <w:rsid w:val="001B565C"/>
    <w:rsid w:val="001B5ADE"/>
    <w:rsid w:val="001D068E"/>
    <w:rsid w:val="001D1422"/>
    <w:rsid w:val="001E098A"/>
    <w:rsid w:val="001E35B9"/>
    <w:rsid w:val="001F3EEE"/>
    <w:rsid w:val="002334FB"/>
    <w:rsid w:val="002421ED"/>
    <w:rsid w:val="00252D2D"/>
    <w:rsid w:val="00254F6A"/>
    <w:rsid w:val="002760B2"/>
    <w:rsid w:val="002871BA"/>
    <w:rsid w:val="002900CB"/>
    <w:rsid w:val="00296332"/>
    <w:rsid w:val="00297A1F"/>
    <w:rsid w:val="002A006B"/>
    <w:rsid w:val="002A2F5D"/>
    <w:rsid w:val="002D1B7B"/>
    <w:rsid w:val="002E6315"/>
    <w:rsid w:val="002E7279"/>
    <w:rsid w:val="00336E35"/>
    <w:rsid w:val="0037172C"/>
    <w:rsid w:val="003812D5"/>
    <w:rsid w:val="00381CE7"/>
    <w:rsid w:val="0039487C"/>
    <w:rsid w:val="003C228D"/>
    <w:rsid w:val="003D1720"/>
    <w:rsid w:val="003D4BC2"/>
    <w:rsid w:val="003D544B"/>
    <w:rsid w:val="003E3C37"/>
    <w:rsid w:val="00411C6F"/>
    <w:rsid w:val="00420837"/>
    <w:rsid w:val="00437450"/>
    <w:rsid w:val="00442B51"/>
    <w:rsid w:val="00446ED3"/>
    <w:rsid w:val="004503FE"/>
    <w:rsid w:val="004535FC"/>
    <w:rsid w:val="00457711"/>
    <w:rsid w:val="00460A46"/>
    <w:rsid w:val="0048155A"/>
    <w:rsid w:val="00485AE8"/>
    <w:rsid w:val="004B4282"/>
    <w:rsid w:val="004C2C31"/>
    <w:rsid w:val="004C3F97"/>
    <w:rsid w:val="004C50C4"/>
    <w:rsid w:val="004C6911"/>
    <w:rsid w:val="004D6030"/>
    <w:rsid w:val="004F132E"/>
    <w:rsid w:val="004F4980"/>
    <w:rsid w:val="00507000"/>
    <w:rsid w:val="00513349"/>
    <w:rsid w:val="00513A4E"/>
    <w:rsid w:val="00530940"/>
    <w:rsid w:val="0055051E"/>
    <w:rsid w:val="00592868"/>
    <w:rsid w:val="005C7579"/>
    <w:rsid w:val="005E375E"/>
    <w:rsid w:val="00621CD8"/>
    <w:rsid w:val="00643B7C"/>
    <w:rsid w:val="0066056B"/>
    <w:rsid w:val="00661CAA"/>
    <w:rsid w:val="006878D7"/>
    <w:rsid w:val="006A009B"/>
    <w:rsid w:val="006B20A5"/>
    <w:rsid w:val="006B7AEE"/>
    <w:rsid w:val="006C591C"/>
    <w:rsid w:val="006E1D8C"/>
    <w:rsid w:val="006F1DD8"/>
    <w:rsid w:val="00711255"/>
    <w:rsid w:val="00713106"/>
    <w:rsid w:val="00724CA4"/>
    <w:rsid w:val="00730002"/>
    <w:rsid w:val="00736345"/>
    <w:rsid w:val="007371EB"/>
    <w:rsid w:val="00740297"/>
    <w:rsid w:val="00781215"/>
    <w:rsid w:val="00782408"/>
    <w:rsid w:val="007841D9"/>
    <w:rsid w:val="007A487B"/>
    <w:rsid w:val="007B2BD7"/>
    <w:rsid w:val="007C1D99"/>
    <w:rsid w:val="007C1DDA"/>
    <w:rsid w:val="007C4263"/>
    <w:rsid w:val="007F3374"/>
    <w:rsid w:val="00801BB4"/>
    <w:rsid w:val="00816F6F"/>
    <w:rsid w:val="00817A5E"/>
    <w:rsid w:val="008304A2"/>
    <w:rsid w:val="00830973"/>
    <w:rsid w:val="00854192"/>
    <w:rsid w:val="0089188D"/>
    <w:rsid w:val="0089779F"/>
    <w:rsid w:val="008C21BA"/>
    <w:rsid w:val="008C3A20"/>
    <w:rsid w:val="008E495A"/>
    <w:rsid w:val="00921458"/>
    <w:rsid w:val="00967CB6"/>
    <w:rsid w:val="00995F1A"/>
    <w:rsid w:val="009A3F2F"/>
    <w:rsid w:val="009B0728"/>
    <w:rsid w:val="009B3231"/>
    <w:rsid w:val="009D3A22"/>
    <w:rsid w:val="009D6D02"/>
    <w:rsid w:val="009E39FF"/>
    <w:rsid w:val="009E593C"/>
    <w:rsid w:val="009E5B79"/>
    <w:rsid w:val="00A20C07"/>
    <w:rsid w:val="00A25909"/>
    <w:rsid w:val="00A373E0"/>
    <w:rsid w:val="00A54BD3"/>
    <w:rsid w:val="00A64AF8"/>
    <w:rsid w:val="00A67C4F"/>
    <w:rsid w:val="00A702FD"/>
    <w:rsid w:val="00A72576"/>
    <w:rsid w:val="00A93E81"/>
    <w:rsid w:val="00AB0057"/>
    <w:rsid w:val="00AD763D"/>
    <w:rsid w:val="00AF2394"/>
    <w:rsid w:val="00AF5E66"/>
    <w:rsid w:val="00B03247"/>
    <w:rsid w:val="00B24661"/>
    <w:rsid w:val="00B428B8"/>
    <w:rsid w:val="00B511F6"/>
    <w:rsid w:val="00B54FA4"/>
    <w:rsid w:val="00B6335A"/>
    <w:rsid w:val="00B87705"/>
    <w:rsid w:val="00BB4390"/>
    <w:rsid w:val="00BD1EC5"/>
    <w:rsid w:val="00BD6035"/>
    <w:rsid w:val="00C9252C"/>
    <w:rsid w:val="00CD3790"/>
    <w:rsid w:val="00CD6E7C"/>
    <w:rsid w:val="00CE6DD9"/>
    <w:rsid w:val="00D37F7F"/>
    <w:rsid w:val="00D46BCD"/>
    <w:rsid w:val="00D50D99"/>
    <w:rsid w:val="00D6114E"/>
    <w:rsid w:val="00D613B5"/>
    <w:rsid w:val="00D61C3F"/>
    <w:rsid w:val="00DE2DE2"/>
    <w:rsid w:val="00DE75F1"/>
    <w:rsid w:val="00DF4588"/>
    <w:rsid w:val="00E244FC"/>
    <w:rsid w:val="00E30D2C"/>
    <w:rsid w:val="00E60DE1"/>
    <w:rsid w:val="00E7069E"/>
    <w:rsid w:val="00E85965"/>
    <w:rsid w:val="00E948F2"/>
    <w:rsid w:val="00E951CA"/>
    <w:rsid w:val="00EB5987"/>
    <w:rsid w:val="00EC7B5B"/>
    <w:rsid w:val="00EE4464"/>
    <w:rsid w:val="00EF6920"/>
    <w:rsid w:val="00EF7C55"/>
    <w:rsid w:val="00F10B01"/>
    <w:rsid w:val="00F148E4"/>
    <w:rsid w:val="00F42A7C"/>
    <w:rsid w:val="00F627FC"/>
    <w:rsid w:val="00F754AF"/>
    <w:rsid w:val="00F91758"/>
    <w:rsid w:val="00FB40CD"/>
    <w:rsid w:val="00FE0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53A1E6-A335-4D5D-B9D4-618D9BA3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3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374"/>
    <w:pPr>
      <w:ind w:left="720"/>
      <w:contextualSpacing/>
    </w:pPr>
  </w:style>
  <w:style w:type="paragraph" w:styleId="a4">
    <w:name w:val="No Spacing"/>
    <w:uiPriority w:val="1"/>
    <w:qFormat/>
    <w:rsid w:val="007F3374"/>
    <w:pPr>
      <w:spacing w:after="0" w:line="240" w:lineRule="auto"/>
    </w:pPr>
  </w:style>
  <w:style w:type="character" w:customStyle="1" w:styleId="FontStyle33">
    <w:name w:val="Font Style33"/>
    <w:rsid w:val="007F3374"/>
    <w:rPr>
      <w:rFonts w:ascii="Garamond" w:hAnsi="Garamond" w:cs="Garamond"/>
      <w:b/>
      <w:bCs/>
      <w:sz w:val="12"/>
      <w:szCs w:val="12"/>
    </w:rPr>
  </w:style>
  <w:style w:type="paragraph" w:styleId="a5">
    <w:name w:val="Balloon Text"/>
    <w:basedOn w:val="a"/>
    <w:link w:val="a6"/>
    <w:uiPriority w:val="99"/>
    <w:semiHidden/>
    <w:unhideWhenUsed/>
    <w:rsid w:val="007F33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3374"/>
    <w:rPr>
      <w:rFonts w:ascii="Tahoma" w:eastAsia="Calibri" w:hAnsi="Tahoma" w:cs="Tahoma"/>
      <w:sz w:val="16"/>
      <w:szCs w:val="16"/>
    </w:rPr>
  </w:style>
  <w:style w:type="paragraph" w:styleId="a7">
    <w:name w:val="footnote text"/>
    <w:basedOn w:val="a"/>
    <w:link w:val="a8"/>
    <w:semiHidden/>
    <w:rsid w:val="004F132E"/>
    <w:pPr>
      <w:autoSpaceDE w:val="0"/>
      <w:autoSpaceDN w:val="0"/>
      <w:spacing w:after="0" w:line="240" w:lineRule="auto"/>
    </w:pPr>
    <w:rPr>
      <w:rFonts w:eastAsia="Times New Roman"/>
      <w:sz w:val="20"/>
      <w:szCs w:val="20"/>
    </w:rPr>
  </w:style>
  <w:style w:type="character" w:customStyle="1" w:styleId="a8">
    <w:name w:val="Текст сноски Знак"/>
    <w:basedOn w:val="a0"/>
    <w:link w:val="a7"/>
    <w:semiHidden/>
    <w:rsid w:val="004F132E"/>
    <w:rPr>
      <w:rFonts w:ascii="Calibri" w:eastAsia="Times New Roman" w:hAnsi="Calibri" w:cs="Times New Roman"/>
      <w:sz w:val="20"/>
      <w:szCs w:val="20"/>
    </w:rPr>
  </w:style>
  <w:style w:type="character" w:styleId="a9">
    <w:name w:val="footnote reference"/>
    <w:uiPriority w:val="99"/>
    <w:semiHidden/>
    <w:unhideWhenUsed/>
    <w:rsid w:val="004F132E"/>
    <w:rPr>
      <w:vertAlign w:val="superscript"/>
    </w:rPr>
  </w:style>
  <w:style w:type="paragraph" w:styleId="aa">
    <w:name w:val="header"/>
    <w:basedOn w:val="a"/>
    <w:link w:val="ab"/>
    <w:unhideWhenUsed/>
    <w:rsid w:val="00181155"/>
    <w:pPr>
      <w:tabs>
        <w:tab w:val="center" w:pos="4677"/>
        <w:tab w:val="right" w:pos="9355"/>
      </w:tabs>
      <w:spacing w:after="0" w:line="240" w:lineRule="auto"/>
    </w:pPr>
  </w:style>
  <w:style w:type="character" w:customStyle="1" w:styleId="ab">
    <w:name w:val="Верхний колонтитул Знак"/>
    <w:basedOn w:val="a0"/>
    <w:link w:val="aa"/>
    <w:rsid w:val="00181155"/>
    <w:rPr>
      <w:rFonts w:ascii="Calibri" w:eastAsia="Calibri" w:hAnsi="Calibri" w:cs="Times New Roman"/>
    </w:rPr>
  </w:style>
  <w:style w:type="paragraph" w:styleId="ac">
    <w:name w:val="footer"/>
    <w:basedOn w:val="a"/>
    <w:link w:val="ad"/>
    <w:uiPriority w:val="99"/>
    <w:unhideWhenUsed/>
    <w:rsid w:val="001811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81155"/>
    <w:rPr>
      <w:rFonts w:ascii="Calibri" w:eastAsia="Calibri" w:hAnsi="Calibri" w:cs="Times New Roman"/>
    </w:rPr>
  </w:style>
  <w:style w:type="paragraph" w:customStyle="1" w:styleId="Style2">
    <w:name w:val="Style2"/>
    <w:basedOn w:val="a"/>
    <w:rsid w:val="00181155"/>
    <w:pPr>
      <w:widowControl w:val="0"/>
      <w:autoSpaceDE w:val="0"/>
      <w:autoSpaceDN w:val="0"/>
      <w:adjustRightInd w:val="0"/>
      <w:spacing w:after="0" w:line="240" w:lineRule="auto"/>
    </w:pPr>
    <w:rPr>
      <w:rFonts w:ascii="Garamond" w:eastAsia="Times New Roman" w:hAnsi="Garamond"/>
      <w:sz w:val="24"/>
      <w:szCs w:val="24"/>
      <w:lang w:eastAsia="ru-RU"/>
    </w:rPr>
  </w:style>
  <w:style w:type="character" w:styleId="ae">
    <w:name w:val="annotation reference"/>
    <w:basedOn w:val="a0"/>
    <w:uiPriority w:val="99"/>
    <w:semiHidden/>
    <w:unhideWhenUsed/>
    <w:rsid w:val="00F627FC"/>
    <w:rPr>
      <w:sz w:val="16"/>
      <w:szCs w:val="16"/>
    </w:rPr>
  </w:style>
  <w:style w:type="paragraph" w:styleId="af">
    <w:name w:val="annotation text"/>
    <w:basedOn w:val="a"/>
    <w:link w:val="af0"/>
    <w:uiPriority w:val="99"/>
    <w:semiHidden/>
    <w:unhideWhenUsed/>
    <w:rsid w:val="00F627FC"/>
    <w:pPr>
      <w:spacing w:line="240" w:lineRule="auto"/>
    </w:pPr>
    <w:rPr>
      <w:sz w:val="20"/>
      <w:szCs w:val="20"/>
    </w:rPr>
  </w:style>
  <w:style w:type="character" w:customStyle="1" w:styleId="af0">
    <w:name w:val="Текст примечания Знак"/>
    <w:basedOn w:val="a0"/>
    <w:link w:val="af"/>
    <w:uiPriority w:val="99"/>
    <w:semiHidden/>
    <w:rsid w:val="00F627FC"/>
    <w:rPr>
      <w:rFonts w:ascii="Calibri" w:eastAsia="Calibri" w:hAnsi="Calibri" w:cs="Times New Roman"/>
      <w:sz w:val="20"/>
      <w:szCs w:val="20"/>
    </w:rPr>
  </w:style>
  <w:style w:type="paragraph" w:styleId="af1">
    <w:name w:val="annotation subject"/>
    <w:basedOn w:val="af"/>
    <w:next w:val="af"/>
    <w:link w:val="af2"/>
    <w:uiPriority w:val="99"/>
    <w:semiHidden/>
    <w:unhideWhenUsed/>
    <w:rsid w:val="00F627FC"/>
    <w:rPr>
      <w:b/>
      <w:bCs/>
    </w:rPr>
  </w:style>
  <w:style w:type="character" w:customStyle="1" w:styleId="af2">
    <w:name w:val="Тема примечания Знак"/>
    <w:basedOn w:val="af0"/>
    <w:link w:val="af1"/>
    <w:uiPriority w:val="99"/>
    <w:semiHidden/>
    <w:rsid w:val="00F627FC"/>
    <w:rPr>
      <w:rFonts w:ascii="Calibri" w:eastAsia="Calibri" w:hAnsi="Calibri" w:cs="Times New Roman"/>
      <w:b/>
      <w:bCs/>
      <w:sz w:val="20"/>
      <w:szCs w:val="20"/>
    </w:rPr>
  </w:style>
  <w:style w:type="paragraph" w:styleId="af3">
    <w:name w:val="Revision"/>
    <w:hidden/>
    <w:uiPriority w:val="99"/>
    <w:semiHidden/>
    <w:rsid w:val="0013119D"/>
    <w:pPr>
      <w:spacing w:after="0" w:line="240" w:lineRule="auto"/>
    </w:pPr>
    <w:rPr>
      <w:rFonts w:ascii="Calibri" w:eastAsia="Calibri" w:hAnsi="Calibri" w:cs="Times New Roman"/>
    </w:rPr>
  </w:style>
  <w:style w:type="paragraph" w:styleId="af4">
    <w:name w:val="Normal (Web)"/>
    <w:basedOn w:val="a"/>
    <w:uiPriority w:val="99"/>
    <w:semiHidden/>
    <w:unhideWhenUsed/>
    <w:rsid w:val="002900C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88250">
      <w:bodyDiv w:val="1"/>
      <w:marLeft w:val="0"/>
      <w:marRight w:val="0"/>
      <w:marTop w:val="0"/>
      <w:marBottom w:val="0"/>
      <w:divBdr>
        <w:top w:val="none" w:sz="0" w:space="0" w:color="auto"/>
        <w:left w:val="none" w:sz="0" w:space="0" w:color="auto"/>
        <w:bottom w:val="none" w:sz="0" w:space="0" w:color="auto"/>
        <w:right w:val="none" w:sz="0" w:space="0" w:color="auto"/>
      </w:divBdr>
    </w:div>
    <w:div w:id="579797316">
      <w:bodyDiv w:val="1"/>
      <w:marLeft w:val="0"/>
      <w:marRight w:val="0"/>
      <w:marTop w:val="0"/>
      <w:marBottom w:val="0"/>
      <w:divBdr>
        <w:top w:val="none" w:sz="0" w:space="0" w:color="auto"/>
        <w:left w:val="none" w:sz="0" w:space="0" w:color="auto"/>
        <w:bottom w:val="none" w:sz="0" w:space="0" w:color="auto"/>
        <w:right w:val="none" w:sz="0" w:space="0" w:color="auto"/>
      </w:divBdr>
    </w:div>
    <w:div w:id="784269876">
      <w:bodyDiv w:val="1"/>
      <w:marLeft w:val="0"/>
      <w:marRight w:val="0"/>
      <w:marTop w:val="0"/>
      <w:marBottom w:val="0"/>
      <w:divBdr>
        <w:top w:val="none" w:sz="0" w:space="0" w:color="auto"/>
        <w:left w:val="none" w:sz="0" w:space="0" w:color="auto"/>
        <w:bottom w:val="none" w:sz="0" w:space="0" w:color="auto"/>
        <w:right w:val="none" w:sz="0" w:space="0" w:color="auto"/>
      </w:divBdr>
    </w:div>
    <w:div w:id="1101611965">
      <w:bodyDiv w:val="1"/>
      <w:marLeft w:val="0"/>
      <w:marRight w:val="0"/>
      <w:marTop w:val="0"/>
      <w:marBottom w:val="0"/>
      <w:divBdr>
        <w:top w:val="none" w:sz="0" w:space="0" w:color="auto"/>
        <w:left w:val="none" w:sz="0" w:space="0" w:color="auto"/>
        <w:bottom w:val="none" w:sz="0" w:space="0" w:color="auto"/>
        <w:right w:val="none" w:sz="0" w:space="0" w:color="auto"/>
      </w:divBdr>
    </w:div>
    <w:div w:id="1142892393">
      <w:bodyDiv w:val="1"/>
      <w:marLeft w:val="0"/>
      <w:marRight w:val="0"/>
      <w:marTop w:val="0"/>
      <w:marBottom w:val="0"/>
      <w:divBdr>
        <w:top w:val="none" w:sz="0" w:space="0" w:color="auto"/>
        <w:left w:val="none" w:sz="0" w:space="0" w:color="auto"/>
        <w:bottom w:val="none" w:sz="0" w:space="0" w:color="auto"/>
        <w:right w:val="none" w:sz="0" w:space="0" w:color="auto"/>
      </w:divBdr>
    </w:div>
    <w:div w:id="1296524131">
      <w:bodyDiv w:val="1"/>
      <w:marLeft w:val="0"/>
      <w:marRight w:val="0"/>
      <w:marTop w:val="0"/>
      <w:marBottom w:val="0"/>
      <w:divBdr>
        <w:top w:val="none" w:sz="0" w:space="0" w:color="auto"/>
        <w:left w:val="none" w:sz="0" w:space="0" w:color="auto"/>
        <w:bottom w:val="none" w:sz="0" w:space="0" w:color="auto"/>
        <w:right w:val="none" w:sz="0" w:space="0" w:color="auto"/>
      </w:divBdr>
    </w:div>
    <w:div w:id="1974364034">
      <w:bodyDiv w:val="1"/>
      <w:marLeft w:val="0"/>
      <w:marRight w:val="0"/>
      <w:marTop w:val="0"/>
      <w:marBottom w:val="0"/>
      <w:divBdr>
        <w:top w:val="none" w:sz="0" w:space="0" w:color="auto"/>
        <w:left w:val="none" w:sz="0" w:space="0" w:color="auto"/>
        <w:bottom w:val="none" w:sz="0" w:space="0" w:color="auto"/>
        <w:right w:val="none" w:sz="0" w:space="0" w:color="auto"/>
      </w:divBdr>
    </w:div>
    <w:div w:id="20156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1E90-2DBE-4D0F-8ED1-48BCFF0C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10105</Words>
  <Characters>57599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АКБ "РосЕвроБанк" (ОАО)</Company>
  <LinksUpToDate>false</LinksUpToDate>
  <CharactersWithSpaces>67569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 Борис Сергеевич</dc:creator>
  <cp:lastModifiedBy>Бовин Егор Борисович</cp:lastModifiedBy>
  <cp:revision>1</cp:revision>
  <cp:lastPrinted>2023-12-21T08:40:00Z</cp:lastPrinted>
  <dcterms:created xsi:type="dcterms:W3CDTF">2025-02-17T07:20:00Z</dcterms:created>
  <dcterms:modified xsi:type="dcterms:W3CDTF">2025-02-17T07:20:00Z</dcterms:modified>
</cp:coreProperties>
</file>