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AC643F" w:rsidRPr="00AC643F">
        <w:t>187</w:t>
      </w:r>
      <w:r w:rsidR="00E744E1">
        <w:t xml:space="preserve">/ОД от </w:t>
      </w:r>
      <w:r w:rsidR="00AC643F" w:rsidRPr="00E5625F">
        <w:t>11.09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EC7A5B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EC7A5B" w:rsidRPr="00EC7A5B">
        <w:rPr>
          <w:b/>
          <w:color w:val="000000"/>
          <w:sz w:val="32"/>
          <w:szCs w:val="32"/>
        </w:rPr>
        <w:t>10% КЭШБЭКА И</w:t>
      </w:r>
      <w:r w:rsidR="00EC7A5B">
        <w:rPr>
          <w:b/>
          <w:color w:val="000000"/>
          <w:sz w:val="32"/>
          <w:szCs w:val="32"/>
        </w:rPr>
        <w:t xml:space="preserve"> ДОПОЛНИТЕЛЬНЫЙ МЕСЯЦ РАССРОЧКИ</w:t>
      </w:r>
    </w:p>
    <w:p w:rsidR="00B10BC7" w:rsidRPr="002D7AD5" w:rsidRDefault="00EC7A5B" w:rsidP="002D7AD5">
      <w:pPr>
        <w:pStyle w:val="Standarduser"/>
        <w:jc w:val="center"/>
        <w:rPr>
          <w:b/>
          <w:color w:val="000000"/>
          <w:sz w:val="32"/>
          <w:szCs w:val="32"/>
        </w:rPr>
      </w:pPr>
      <w:proofErr w:type="gramStart"/>
      <w:r w:rsidRPr="00EC7A5B">
        <w:rPr>
          <w:b/>
          <w:color w:val="000000"/>
          <w:sz w:val="32"/>
          <w:szCs w:val="32"/>
        </w:rPr>
        <w:t>В</w:t>
      </w:r>
      <w:proofErr w:type="gramEnd"/>
      <w:r w:rsidRPr="00EC7A5B">
        <w:rPr>
          <w:b/>
          <w:color w:val="000000"/>
          <w:sz w:val="32"/>
          <w:szCs w:val="32"/>
        </w:rPr>
        <w:t xml:space="preserve"> </w:t>
      </w:r>
      <w:proofErr w:type="gramStart"/>
      <w:r w:rsidRPr="00EC7A5B">
        <w:rPr>
          <w:b/>
          <w:color w:val="000000"/>
          <w:sz w:val="32"/>
          <w:szCs w:val="32"/>
        </w:rPr>
        <w:t>ПОСУДА</w:t>
      </w:r>
      <w:proofErr w:type="gramEnd"/>
      <w:r w:rsidRPr="00EC7A5B">
        <w:rPr>
          <w:b/>
          <w:color w:val="000000"/>
          <w:sz w:val="32"/>
          <w:szCs w:val="32"/>
        </w:rPr>
        <w:t xml:space="preserve"> ЦЕНТР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A1E25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9031170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_Toc19031170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3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1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_Toc19031171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3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2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_Toc19031172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3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3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_Toc19031173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4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4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_Toc19031174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4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5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_Toc19031175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4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6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_Toc19031176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4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7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_Toc19031177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4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CA1E25" w:rsidRDefault="0065178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9031178" w:history="1"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CA1E25">
              <w:rPr>
                <w:rFonts w:eastAsiaTheme="minorEastAsia"/>
                <w:noProof/>
                <w:lang w:eastAsia="ru-RU"/>
              </w:rPr>
              <w:tab/>
            </w:r>
            <w:r w:rsidR="00CA1E25" w:rsidRPr="00AF4535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CA1E25">
              <w:rPr>
                <w:noProof/>
                <w:webHidden/>
              </w:rPr>
              <w:tab/>
            </w:r>
            <w:r w:rsidR="00CA1E25">
              <w:rPr>
                <w:noProof/>
                <w:webHidden/>
              </w:rPr>
              <w:fldChar w:fldCharType="begin"/>
            </w:r>
            <w:r w:rsidR="00CA1E25">
              <w:rPr>
                <w:noProof/>
                <w:webHidden/>
              </w:rPr>
              <w:instrText xml:space="preserve"> PAGEREF _Toc19031178 \h </w:instrText>
            </w:r>
            <w:r w:rsidR="00CA1E25">
              <w:rPr>
                <w:noProof/>
                <w:webHidden/>
              </w:rPr>
            </w:r>
            <w:r w:rsidR="00CA1E25">
              <w:rPr>
                <w:noProof/>
                <w:webHidden/>
              </w:rPr>
              <w:fldChar w:fldCharType="separate"/>
            </w:r>
            <w:r w:rsidR="00CA1E25">
              <w:rPr>
                <w:noProof/>
                <w:webHidden/>
              </w:rPr>
              <w:t>5</w:t>
            </w:r>
            <w:r w:rsidR="00CA1E25">
              <w:rPr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903117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EC7A5B" w:rsidRPr="00EC7A5B">
        <w:rPr>
          <w:rFonts w:ascii="Times New Roman" w:hAnsi="Times New Roman" w:cs="Times New Roman"/>
          <w:sz w:val="24"/>
          <w:szCs w:val="24"/>
        </w:rPr>
        <w:t xml:space="preserve">10% </w:t>
      </w:r>
      <w:proofErr w:type="spellStart"/>
      <w:r w:rsidR="00EC7A5B" w:rsidRPr="00EC7A5B">
        <w:rPr>
          <w:rFonts w:ascii="Times New Roman" w:hAnsi="Times New Roman" w:cs="Times New Roman"/>
          <w:sz w:val="24"/>
          <w:szCs w:val="24"/>
        </w:rPr>
        <w:t>кэшбэка</w:t>
      </w:r>
      <w:proofErr w:type="spellEnd"/>
      <w:r w:rsidR="00EC7A5B" w:rsidRPr="00EC7A5B">
        <w:rPr>
          <w:rFonts w:ascii="Times New Roman" w:hAnsi="Times New Roman" w:cs="Times New Roman"/>
          <w:sz w:val="24"/>
          <w:szCs w:val="24"/>
        </w:rPr>
        <w:t xml:space="preserve"> и дополнительный месяц рассрочки </w:t>
      </w:r>
      <w:proofErr w:type="gramStart"/>
      <w:r w:rsidR="00EC7A5B" w:rsidRPr="00EC7A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C7A5B" w:rsidRPr="00EC7A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7A5B" w:rsidRPr="00EC7A5B">
        <w:rPr>
          <w:rFonts w:ascii="Times New Roman" w:hAnsi="Times New Roman" w:cs="Times New Roman"/>
          <w:sz w:val="24"/>
          <w:szCs w:val="24"/>
        </w:rPr>
        <w:t>Посуда</w:t>
      </w:r>
      <w:proofErr w:type="gramEnd"/>
      <w:r w:rsidR="00EC7A5B" w:rsidRPr="00EC7A5B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903117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903117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9031173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EC7A5B">
        <w:rPr>
          <w:rFonts w:ascii="Times New Roman" w:hAnsi="Times New Roman" w:cs="Times New Roman"/>
          <w:sz w:val="24"/>
          <w:szCs w:val="24"/>
        </w:rPr>
        <w:t>23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EC7A5B">
        <w:rPr>
          <w:rFonts w:ascii="Times New Roman" w:hAnsi="Times New Roman" w:cs="Times New Roman"/>
          <w:sz w:val="24"/>
          <w:szCs w:val="24"/>
        </w:rPr>
        <w:t>9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EC7A5B">
        <w:rPr>
          <w:rFonts w:ascii="Times New Roman" w:hAnsi="Times New Roman" w:cs="Times New Roman"/>
          <w:sz w:val="24"/>
          <w:szCs w:val="24"/>
        </w:rPr>
        <w:t>10.10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EC7A5B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EC7A5B">
        <w:rPr>
          <w:rFonts w:ascii="Times New Roman" w:hAnsi="Times New Roman" w:cs="Times New Roman"/>
          <w:sz w:val="24"/>
          <w:szCs w:val="24"/>
        </w:rPr>
        <w:t>23</w:t>
      </w:r>
      <w:r w:rsidR="00EC7A5B" w:rsidRPr="00022658">
        <w:rPr>
          <w:rFonts w:ascii="Times New Roman" w:hAnsi="Times New Roman" w:cs="Times New Roman"/>
          <w:sz w:val="24"/>
          <w:szCs w:val="24"/>
        </w:rPr>
        <w:t>.</w:t>
      </w:r>
      <w:r w:rsidR="00EC7A5B">
        <w:rPr>
          <w:rFonts w:ascii="Times New Roman" w:hAnsi="Times New Roman" w:cs="Times New Roman"/>
          <w:sz w:val="24"/>
          <w:szCs w:val="24"/>
        </w:rPr>
        <w:t>09</w:t>
      </w:r>
      <w:r w:rsidR="00EC7A5B" w:rsidRPr="00022658">
        <w:rPr>
          <w:rFonts w:ascii="Times New Roman" w:hAnsi="Times New Roman" w:cs="Times New Roman"/>
          <w:sz w:val="24"/>
          <w:szCs w:val="24"/>
        </w:rPr>
        <w:t xml:space="preserve">.2019 г. до </w:t>
      </w:r>
      <w:r w:rsidR="00EC7A5B">
        <w:rPr>
          <w:rFonts w:ascii="Times New Roman" w:hAnsi="Times New Roman" w:cs="Times New Roman"/>
          <w:sz w:val="24"/>
          <w:szCs w:val="24"/>
        </w:rPr>
        <w:t>10.10.2019</w:t>
      </w:r>
      <w:r w:rsidR="00EC7A5B"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585044" w:rsidRPr="00022658" w:rsidRDefault="00585044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начисления баллов – с 11.10.2019 г. до 30.10.2019 г.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903117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903117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903117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A97743" w:rsidRDefault="00CA1E25" w:rsidP="00EC7A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Акция позволяет К</w:t>
      </w:r>
      <w:r w:rsidR="00EC7A5B">
        <w:rPr>
          <w:rFonts w:ascii="Times New Roman" w:hAnsi="Times New Roman" w:cs="Times New Roman"/>
          <w:sz w:val="24"/>
          <w:szCs w:val="24"/>
        </w:rPr>
        <w:t xml:space="preserve">лиенту </w:t>
      </w:r>
      <w:r w:rsidR="00EC7A5B" w:rsidRPr="00EC7A5B">
        <w:rPr>
          <w:rFonts w:ascii="Times New Roman" w:hAnsi="Times New Roman" w:cs="Times New Roman"/>
          <w:sz w:val="24"/>
          <w:szCs w:val="24"/>
        </w:rPr>
        <w:t xml:space="preserve">в сети магазинов Посуда Центр </w:t>
      </w:r>
      <w:r w:rsidR="00EC7A5B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EC7A5B" w:rsidRPr="00EC7A5B">
        <w:rPr>
          <w:rFonts w:ascii="Times New Roman" w:hAnsi="Times New Roman" w:cs="Times New Roman"/>
          <w:sz w:val="24"/>
          <w:szCs w:val="24"/>
        </w:rPr>
        <w:t xml:space="preserve">10% </w:t>
      </w:r>
      <w:proofErr w:type="spellStart"/>
      <w:r w:rsidR="00EC7A5B" w:rsidRPr="00EC7A5B">
        <w:rPr>
          <w:rFonts w:ascii="Times New Roman" w:hAnsi="Times New Roman" w:cs="Times New Roman"/>
          <w:sz w:val="24"/>
          <w:szCs w:val="24"/>
        </w:rPr>
        <w:t>кэшбэка</w:t>
      </w:r>
      <w:proofErr w:type="spellEnd"/>
      <w:r w:rsidR="00EC7A5B" w:rsidRPr="00EC7A5B">
        <w:rPr>
          <w:rFonts w:ascii="Times New Roman" w:hAnsi="Times New Roman" w:cs="Times New Roman"/>
          <w:sz w:val="24"/>
          <w:szCs w:val="24"/>
        </w:rPr>
        <w:t xml:space="preserve"> с чека 3000 </w:t>
      </w:r>
      <w:proofErr w:type="spellStart"/>
      <w:r w:rsidR="00585044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585044">
        <w:rPr>
          <w:rFonts w:ascii="Times New Roman" w:hAnsi="Times New Roman" w:cs="Times New Roman"/>
          <w:sz w:val="24"/>
          <w:szCs w:val="24"/>
        </w:rPr>
        <w:t>, но не более 300 баллов.</w:t>
      </w:r>
    </w:p>
    <w:p w:rsidR="00585044" w:rsidRDefault="00E5625F" w:rsidP="00EC7A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625F">
        <w:rPr>
          <w:rFonts w:ascii="Times New Roman" w:hAnsi="Times New Roman" w:cs="Times New Roman"/>
          <w:sz w:val="24"/>
          <w:szCs w:val="24"/>
        </w:rPr>
        <w:t xml:space="preserve">Клиент получает +1 </w:t>
      </w:r>
      <w:proofErr w:type="spellStart"/>
      <w:proofErr w:type="gramStart"/>
      <w:r w:rsidRPr="00E5625F">
        <w:rPr>
          <w:rFonts w:ascii="Times New Roman" w:hAnsi="Times New Roman" w:cs="Times New Roman"/>
          <w:sz w:val="24"/>
          <w:szCs w:val="24"/>
        </w:rPr>
        <w:t>мес</w:t>
      </w:r>
      <w:proofErr w:type="spellEnd"/>
      <w:proofErr w:type="gramEnd"/>
      <w:r w:rsidRPr="00E5625F">
        <w:rPr>
          <w:rFonts w:ascii="Times New Roman" w:hAnsi="Times New Roman" w:cs="Times New Roman"/>
          <w:sz w:val="24"/>
          <w:szCs w:val="24"/>
        </w:rPr>
        <w:t xml:space="preserve"> рассрочки к сроку Посуда Центр</w:t>
      </w:r>
      <w:r w:rsidR="0058504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85044" w:rsidRDefault="00585044" w:rsidP="00585044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 5000 руб. – 3 месяца рассрочки, </w:t>
      </w:r>
      <w:bookmarkStart w:id="8" w:name="_GoBack"/>
      <w:bookmarkEnd w:id="8"/>
    </w:p>
    <w:p w:rsidR="00EC7A5B" w:rsidRDefault="00585044" w:rsidP="00585044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5000 руб. – 5 месяцев рассрочки.</w:t>
      </w:r>
    </w:p>
    <w:p w:rsidR="00EC7A5B" w:rsidRPr="00EC7A5B" w:rsidRDefault="00CA1E25" w:rsidP="00EC7A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зачисляется на счет Клиента в виде баллов, которые</w:t>
      </w:r>
      <w:r w:rsidR="00EC7A5B" w:rsidRPr="008D1652">
        <w:rPr>
          <w:rFonts w:ascii="Times New Roman" w:hAnsi="Times New Roman" w:cs="Times New Roman"/>
          <w:sz w:val="24"/>
          <w:szCs w:val="24"/>
        </w:rPr>
        <w:t xml:space="preserve"> могут быть переведены в рубли по условиям </w:t>
      </w:r>
      <w:hyperlink r:id="rId11" w:history="1">
        <w:r w:rsidR="00EC7A5B" w:rsidRPr="008D1652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="00EC7A5B" w:rsidRPr="008D1652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="00EC7A5B" w:rsidRPr="008D1652">
          <w:rPr>
            <w:rFonts w:ascii="Times New Roman" w:hAnsi="Times New Roman" w:cs="Times New Roman"/>
            <w:sz w:val="24"/>
            <w:szCs w:val="24"/>
          </w:rPr>
          <w:t xml:space="preserve"> карты «Халва».</w:t>
        </w:r>
      </w:hyperlink>
    </w:p>
    <w:p w:rsidR="00EC7A5B" w:rsidRPr="00A97743" w:rsidRDefault="00EC7A5B" w:rsidP="00EC7A5B">
      <w:pPr>
        <w:pStyle w:val="a4"/>
        <w:spacing w:after="0"/>
        <w:ind w:left="792"/>
        <w:jc w:val="both"/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903117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B711EE">
        <w:rPr>
          <w:rFonts w:ascii="Times New Roman" w:hAnsi="Times New Roman" w:cs="Times New Roman"/>
          <w:sz w:val="24"/>
          <w:szCs w:val="24"/>
        </w:rPr>
        <w:t xml:space="preserve"> карты «Халва».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903117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2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480136" w:rsidRPr="00CA1E25" w:rsidRDefault="00BF595B" w:rsidP="00CA1E25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CA1E25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CA1E25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CA1E25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CA1E25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sectPr w:rsidR="00480136" w:rsidRPr="00CA1E25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83" w:rsidRDefault="00651783" w:rsidP="0080692B">
      <w:pPr>
        <w:spacing w:after="0" w:line="240" w:lineRule="auto"/>
      </w:pPr>
      <w:r>
        <w:separator/>
      </w:r>
    </w:p>
  </w:endnote>
  <w:endnote w:type="continuationSeparator" w:id="0">
    <w:p w:rsidR="00651783" w:rsidRDefault="00651783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83" w:rsidRDefault="00651783" w:rsidP="0080692B">
      <w:pPr>
        <w:spacing w:after="0" w:line="240" w:lineRule="auto"/>
      </w:pPr>
      <w:r>
        <w:separator/>
      </w:r>
    </w:p>
  </w:footnote>
  <w:footnote w:type="continuationSeparator" w:id="0">
    <w:p w:rsidR="00651783" w:rsidRDefault="00651783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4331"/>
    <w:rsid w:val="001A19F4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21D5"/>
    <w:rsid w:val="003C29D4"/>
    <w:rsid w:val="003D2A47"/>
    <w:rsid w:val="003F35F6"/>
    <w:rsid w:val="003F6282"/>
    <w:rsid w:val="00410DB5"/>
    <w:rsid w:val="004142F8"/>
    <w:rsid w:val="00430075"/>
    <w:rsid w:val="0045793F"/>
    <w:rsid w:val="00464D4C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5044"/>
    <w:rsid w:val="00586984"/>
    <w:rsid w:val="005900DD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1783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1421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5124A"/>
    <w:rsid w:val="009664DC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C643F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11EE"/>
    <w:rsid w:val="00B76936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53445"/>
    <w:rsid w:val="00C717BC"/>
    <w:rsid w:val="00C74AE9"/>
    <w:rsid w:val="00C930D4"/>
    <w:rsid w:val="00CA1E25"/>
    <w:rsid w:val="00CB6144"/>
    <w:rsid w:val="00CB6655"/>
    <w:rsid w:val="00CB7823"/>
    <w:rsid w:val="00CC4402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5625F"/>
    <w:rsid w:val="00E744E1"/>
    <w:rsid w:val="00E76C95"/>
    <w:rsid w:val="00EB1ADD"/>
    <w:rsid w:val="00EC0277"/>
    <w:rsid w:val="00EC445F"/>
    <w:rsid w:val="00EC7A5B"/>
    <w:rsid w:val="00ED12FC"/>
    <w:rsid w:val="00EE04B7"/>
    <w:rsid w:val="00F057E0"/>
    <w:rsid w:val="00F134C0"/>
    <w:rsid w:val="00F14A30"/>
    <w:rsid w:val="00F22CA0"/>
    <w:rsid w:val="00F3397C"/>
    <w:rsid w:val="00F536DE"/>
    <w:rsid w:val="00F672B7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/upload/documents/cards/credit-cards/cash_point_20190101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FB76-4AA5-4F39-9E27-F05EC5F2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8781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Цымбалюк Елена Александровна</cp:lastModifiedBy>
  <cp:revision>8</cp:revision>
  <dcterms:created xsi:type="dcterms:W3CDTF">2019-08-06T11:59:00Z</dcterms:created>
  <dcterms:modified xsi:type="dcterms:W3CDTF">2019-09-17T13:55:00Z</dcterms:modified>
</cp:coreProperties>
</file>