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99" w:rsidRDefault="00422D99" w:rsidP="00B67FA0">
      <w:pPr>
        <w:rPr>
          <w:rFonts w:cs="Times New Roman"/>
        </w:rPr>
      </w:pPr>
      <w:r>
        <w:rPr>
          <w:noProof/>
          <w:lang w:eastAsia="ru-RU"/>
        </w:rPr>
        <w:drawing>
          <wp:inline distT="0" distB="0" distL="0" distR="0" wp14:anchorId="63C0E0C4" wp14:editId="797B98E4">
            <wp:extent cx="5836920" cy="723900"/>
            <wp:effectExtent l="0" t="0" r="0" b="0"/>
            <wp:docPr id="2" name="Рисунок 2" descr="L:\База документов банка\Приказы ОД\Приказы\2018\№149 от 16.05.2018\Приложение № 2 к Приказу№149 от 16.05.18_ Логотип_ Стандартные варианты построения\РУССКИЙ\ОСНОВНОЙ\SCB Logo New 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аза документов банка\Приказы ОД\Приказы\2018\№149 от 16.05.2018\Приложение № 2 к Приказу№149 от 16.05.18_ Логотип_ Стандартные варианты построения\РУССКИЙ\ОСНОВНОЙ\SCB Logo New 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6920" cy="723900"/>
                    </a:xfrm>
                    <a:prstGeom prst="rect">
                      <a:avLst/>
                    </a:prstGeom>
                    <a:noFill/>
                    <a:ln>
                      <a:noFill/>
                    </a:ln>
                  </pic:spPr>
                </pic:pic>
              </a:graphicData>
            </a:graphic>
          </wp:inline>
        </w:drawing>
      </w:r>
    </w:p>
    <w:p w:rsidR="00422D99" w:rsidRDefault="00422D99" w:rsidP="00422D99"/>
    <w:p w:rsidR="00422D99" w:rsidRDefault="00422D99" w:rsidP="00422D99">
      <w:pPr>
        <w:spacing w:before="0" w:after="0" w:line="240" w:lineRule="auto"/>
        <w:jc w:val="right"/>
      </w:pPr>
      <w:r>
        <w:t xml:space="preserve">Приложение </w:t>
      </w:r>
    </w:p>
    <w:p w:rsidR="00422D99" w:rsidRDefault="00422D99" w:rsidP="00422D99">
      <w:pPr>
        <w:spacing w:before="0" w:after="0" w:line="240" w:lineRule="auto"/>
        <w:jc w:val="right"/>
      </w:pPr>
      <w:r>
        <w:t>К Приказу №</w:t>
      </w:r>
      <w:r w:rsidR="00143AA4">
        <w:t>41/ОД</w:t>
      </w:r>
      <w:r>
        <w:t xml:space="preserve"> от</w:t>
      </w:r>
      <w:r w:rsidR="00143AA4">
        <w:t xml:space="preserve"> 29.01.2021</w:t>
      </w:r>
      <w:r>
        <w:t xml:space="preserve"> </w:t>
      </w:r>
    </w:p>
    <w:p w:rsidR="004B1043" w:rsidRPr="00422D99" w:rsidRDefault="004B1043" w:rsidP="00422D99">
      <w:pPr>
        <w:spacing w:before="0" w:after="0" w:line="240" w:lineRule="auto"/>
        <w:jc w:val="right"/>
      </w:pPr>
      <w:r w:rsidRPr="004B1043">
        <w:t>11.01.21</w:t>
      </w:r>
    </w:p>
    <w:p w:rsidR="00422D99" w:rsidRDefault="00422D99" w:rsidP="002D5E63">
      <w:pPr>
        <w:pStyle w:val="1"/>
        <w:jc w:val="center"/>
        <w:rPr>
          <w:rFonts w:ascii="Times New Roman" w:hAnsi="Times New Roman" w:cs="Times New Roman"/>
          <w:color w:val="auto"/>
        </w:rPr>
      </w:pPr>
    </w:p>
    <w:p w:rsidR="00422D99" w:rsidRDefault="00422D99" w:rsidP="002D5E63">
      <w:pPr>
        <w:pStyle w:val="1"/>
        <w:jc w:val="center"/>
        <w:rPr>
          <w:rFonts w:ascii="Times New Roman" w:hAnsi="Times New Roman" w:cs="Times New Roman"/>
          <w:color w:val="auto"/>
        </w:rPr>
      </w:pPr>
    </w:p>
    <w:p w:rsidR="00422D99" w:rsidRDefault="00422D99" w:rsidP="002D5E63">
      <w:pPr>
        <w:pStyle w:val="1"/>
        <w:jc w:val="center"/>
        <w:rPr>
          <w:rFonts w:ascii="Times New Roman" w:hAnsi="Times New Roman" w:cs="Times New Roman"/>
          <w:color w:val="auto"/>
        </w:rPr>
      </w:pPr>
    </w:p>
    <w:p w:rsidR="00422D99" w:rsidRDefault="00422D99" w:rsidP="002D5E63">
      <w:pPr>
        <w:pStyle w:val="1"/>
        <w:jc w:val="center"/>
        <w:rPr>
          <w:rFonts w:ascii="Times New Roman" w:hAnsi="Times New Roman" w:cs="Times New Roman"/>
          <w:color w:val="auto"/>
        </w:rPr>
      </w:pPr>
      <w:bookmarkStart w:id="0" w:name="_GoBack"/>
      <w:bookmarkEnd w:id="0"/>
    </w:p>
    <w:p w:rsidR="00422D99" w:rsidRDefault="00422D99" w:rsidP="002D5E63">
      <w:pPr>
        <w:pStyle w:val="1"/>
        <w:jc w:val="center"/>
        <w:rPr>
          <w:rFonts w:ascii="Times New Roman" w:hAnsi="Times New Roman" w:cs="Times New Roman"/>
          <w:color w:val="auto"/>
        </w:rPr>
      </w:pPr>
    </w:p>
    <w:p w:rsidR="00B67FA0" w:rsidRDefault="00107EBE" w:rsidP="00B67FA0">
      <w:pPr>
        <w:jc w:val="center"/>
        <w:rPr>
          <w:b/>
          <w:sz w:val="32"/>
          <w:szCs w:val="32"/>
        </w:rPr>
      </w:pPr>
      <w:r w:rsidRPr="00B67FA0">
        <w:rPr>
          <w:b/>
          <w:sz w:val="32"/>
          <w:szCs w:val="32"/>
        </w:rPr>
        <w:t xml:space="preserve">ПОРЯДОК </w:t>
      </w:r>
    </w:p>
    <w:p w:rsidR="00D47508" w:rsidRPr="00B67FA0" w:rsidRDefault="00107EBE" w:rsidP="00B67FA0">
      <w:pPr>
        <w:jc w:val="center"/>
        <w:rPr>
          <w:b/>
          <w:sz w:val="32"/>
          <w:szCs w:val="32"/>
        </w:rPr>
      </w:pPr>
      <w:r w:rsidRPr="00B67FA0">
        <w:rPr>
          <w:b/>
          <w:sz w:val="32"/>
          <w:szCs w:val="32"/>
        </w:rPr>
        <w:t>ЗАКРЫТИЯ НЕПОКРЫТЫХ ПОЗИЦИЙ КЛИЕНТОВ В РАМКАХ БРОКЕРСКОГ</w:t>
      </w:r>
      <w:r w:rsidR="00422D99" w:rsidRPr="00B67FA0">
        <w:rPr>
          <w:b/>
          <w:sz w:val="32"/>
          <w:szCs w:val="32"/>
        </w:rPr>
        <w:t>О ОБСЛУЖИВАНИЯ ПАО «СОВКОМБАНК»</w:t>
      </w:r>
    </w:p>
    <w:p w:rsidR="004C6DF7" w:rsidRPr="007A085B" w:rsidRDefault="004C6DF7"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422D99" w:rsidRDefault="00422D99" w:rsidP="004C6DF7"/>
    <w:p w:rsidR="00B67FA0" w:rsidRDefault="00B67FA0" w:rsidP="004C6DF7"/>
    <w:p w:rsidR="00B67FA0" w:rsidRDefault="00B67FA0" w:rsidP="004C6DF7"/>
    <w:p w:rsidR="00422D99" w:rsidRDefault="00422D99" w:rsidP="004C6DF7"/>
    <w:p w:rsidR="00422D99" w:rsidRPr="00422D99" w:rsidRDefault="00422D99" w:rsidP="00422D99">
      <w:pPr>
        <w:jc w:val="center"/>
        <w:rPr>
          <w:b/>
        </w:rPr>
      </w:pPr>
      <w:r w:rsidRPr="00422D99">
        <w:rPr>
          <w:b/>
        </w:rPr>
        <w:t>Кострома</w:t>
      </w:r>
    </w:p>
    <w:p w:rsidR="00B67FA0" w:rsidRPr="00F34B48" w:rsidRDefault="00AA5E39" w:rsidP="00F34B48">
      <w:pPr>
        <w:jc w:val="center"/>
        <w:rPr>
          <w:b/>
        </w:rPr>
      </w:pPr>
      <w:r w:rsidRPr="00422D99">
        <w:rPr>
          <w:b/>
        </w:rPr>
        <w:t>202</w:t>
      </w:r>
      <w:r>
        <w:rPr>
          <w:b/>
        </w:rPr>
        <w:t>1</w:t>
      </w:r>
    </w:p>
    <w:sdt>
      <w:sdtPr>
        <w:rPr>
          <w:rFonts w:ascii="Times New Roman" w:eastAsiaTheme="minorHAnsi" w:hAnsi="Times New Roman" w:cstheme="minorBidi"/>
          <w:b w:val="0"/>
          <w:bCs w:val="0"/>
          <w:color w:val="auto"/>
          <w:sz w:val="24"/>
          <w:szCs w:val="22"/>
          <w:lang w:eastAsia="en-US"/>
        </w:rPr>
        <w:id w:val="-680661675"/>
        <w:docPartObj>
          <w:docPartGallery w:val="Table of Contents"/>
          <w:docPartUnique/>
        </w:docPartObj>
      </w:sdtPr>
      <w:sdtEndPr/>
      <w:sdtContent>
        <w:p w:rsidR="009F2A6D" w:rsidRDefault="009F2A6D">
          <w:pPr>
            <w:pStyle w:val="aa"/>
          </w:pPr>
          <w:r>
            <w:t>Оглавление</w:t>
          </w:r>
        </w:p>
        <w:p w:rsidR="009F2A6D" w:rsidRDefault="009F2A6D">
          <w:pPr>
            <w:pStyle w:val="11"/>
            <w:tabs>
              <w:tab w:val="right" w:leader="dot" w:pos="9770"/>
            </w:tabs>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40288802" w:history="1">
            <w:r w:rsidRPr="00C36F9B">
              <w:rPr>
                <w:rStyle w:val="ab"/>
                <w:rFonts w:cs="Times New Roman"/>
                <w:b/>
                <w:noProof/>
              </w:rPr>
              <w:t>1. ОБЩИЕ ПОЛОЖЕНИЯ</w:t>
            </w:r>
            <w:r>
              <w:rPr>
                <w:noProof/>
                <w:webHidden/>
              </w:rPr>
              <w:tab/>
            </w:r>
            <w:r>
              <w:rPr>
                <w:noProof/>
                <w:webHidden/>
              </w:rPr>
              <w:fldChar w:fldCharType="begin"/>
            </w:r>
            <w:r>
              <w:rPr>
                <w:noProof/>
                <w:webHidden/>
              </w:rPr>
              <w:instrText xml:space="preserve"> PAGEREF _Toc40288802 \h </w:instrText>
            </w:r>
            <w:r>
              <w:rPr>
                <w:noProof/>
                <w:webHidden/>
              </w:rPr>
            </w:r>
            <w:r>
              <w:rPr>
                <w:noProof/>
                <w:webHidden/>
              </w:rPr>
              <w:fldChar w:fldCharType="separate"/>
            </w:r>
            <w:r>
              <w:rPr>
                <w:noProof/>
                <w:webHidden/>
              </w:rPr>
              <w:t>3</w:t>
            </w:r>
            <w:r>
              <w:rPr>
                <w:noProof/>
                <w:webHidden/>
              </w:rPr>
              <w:fldChar w:fldCharType="end"/>
            </w:r>
          </w:hyperlink>
        </w:p>
        <w:p w:rsidR="009F2A6D" w:rsidRDefault="007A5606">
          <w:pPr>
            <w:pStyle w:val="11"/>
            <w:tabs>
              <w:tab w:val="right" w:leader="dot" w:pos="9770"/>
            </w:tabs>
            <w:rPr>
              <w:rFonts w:asciiTheme="minorHAnsi" w:eastAsiaTheme="minorEastAsia" w:hAnsiTheme="minorHAnsi"/>
              <w:noProof/>
              <w:sz w:val="22"/>
              <w:lang w:eastAsia="ru-RU"/>
            </w:rPr>
          </w:pPr>
          <w:hyperlink w:anchor="_Toc40288803" w:history="1">
            <w:r w:rsidR="009F2A6D" w:rsidRPr="00C36F9B">
              <w:rPr>
                <w:rStyle w:val="ab"/>
                <w:rFonts w:cs="Times New Roman"/>
                <w:b/>
                <w:noProof/>
              </w:rPr>
              <w:t>2. ТЕРМИНЫ И ОПРЕДЕЛЕНИЯ</w:t>
            </w:r>
            <w:r w:rsidR="009F2A6D">
              <w:rPr>
                <w:noProof/>
                <w:webHidden/>
              </w:rPr>
              <w:tab/>
            </w:r>
            <w:r w:rsidR="009F2A6D">
              <w:rPr>
                <w:noProof/>
                <w:webHidden/>
              </w:rPr>
              <w:fldChar w:fldCharType="begin"/>
            </w:r>
            <w:r w:rsidR="009F2A6D">
              <w:rPr>
                <w:noProof/>
                <w:webHidden/>
              </w:rPr>
              <w:instrText xml:space="preserve"> PAGEREF _Toc40288803 \h </w:instrText>
            </w:r>
            <w:r w:rsidR="009F2A6D">
              <w:rPr>
                <w:noProof/>
                <w:webHidden/>
              </w:rPr>
            </w:r>
            <w:r w:rsidR="009F2A6D">
              <w:rPr>
                <w:noProof/>
                <w:webHidden/>
              </w:rPr>
              <w:fldChar w:fldCharType="separate"/>
            </w:r>
            <w:r w:rsidR="009F2A6D">
              <w:rPr>
                <w:noProof/>
                <w:webHidden/>
              </w:rPr>
              <w:t>3</w:t>
            </w:r>
            <w:r w:rsidR="009F2A6D">
              <w:rPr>
                <w:noProof/>
                <w:webHidden/>
              </w:rPr>
              <w:fldChar w:fldCharType="end"/>
            </w:r>
          </w:hyperlink>
        </w:p>
        <w:p w:rsidR="009F2A6D" w:rsidRDefault="007A5606">
          <w:pPr>
            <w:pStyle w:val="11"/>
            <w:tabs>
              <w:tab w:val="right" w:leader="dot" w:pos="9770"/>
            </w:tabs>
            <w:rPr>
              <w:rFonts w:asciiTheme="minorHAnsi" w:eastAsiaTheme="minorEastAsia" w:hAnsiTheme="minorHAnsi"/>
              <w:noProof/>
              <w:sz w:val="22"/>
              <w:lang w:eastAsia="ru-RU"/>
            </w:rPr>
          </w:pPr>
          <w:hyperlink w:anchor="_Toc40288804" w:history="1">
            <w:r w:rsidR="009F2A6D" w:rsidRPr="00C36F9B">
              <w:rPr>
                <w:rStyle w:val="ab"/>
                <w:rFonts w:cs="Times New Roman"/>
                <w:b/>
                <w:noProof/>
              </w:rPr>
              <w:t>3. УВЕДОМЛЕНИЕ КЛИЕНТА</w:t>
            </w:r>
            <w:r w:rsidR="009F2A6D">
              <w:rPr>
                <w:noProof/>
                <w:webHidden/>
              </w:rPr>
              <w:tab/>
            </w:r>
            <w:r w:rsidR="009F2A6D">
              <w:rPr>
                <w:noProof/>
                <w:webHidden/>
              </w:rPr>
              <w:fldChar w:fldCharType="begin"/>
            </w:r>
            <w:r w:rsidR="009F2A6D">
              <w:rPr>
                <w:noProof/>
                <w:webHidden/>
              </w:rPr>
              <w:instrText xml:space="preserve"> PAGEREF _Toc40288804 \h </w:instrText>
            </w:r>
            <w:r w:rsidR="009F2A6D">
              <w:rPr>
                <w:noProof/>
                <w:webHidden/>
              </w:rPr>
            </w:r>
            <w:r w:rsidR="009F2A6D">
              <w:rPr>
                <w:noProof/>
                <w:webHidden/>
              </w:rPr>
              <w:fldChar w:fldCharType="separate"/>
            </w:r>
            <w:r w:rsidR="009F2A6D">
              <w:rPr>
                <w:noProof/>
                <w:webHidden/>
              </w:rPr>
              <w:t>6</w:t>
            </w:r>
            <w:r w:rsidR="009F2A6D">
              <w:rPr>
                <w:noProof/>
                <w:webHidden/>
              </w:rPr>
              <w:fldChar w:fldCharType="end"/>
            </w:r>
          </w:hyperlink>
        </w:p>
        <w:p w:rsidR="009F2A6D" w:rsidRDefault="007A5606">
          <w:pPr>
            <w:pStyle w:val="11"/>
            <w:tabs>
              <w:tab w:val="right" w:leader="dot" w:pos="9770"/>
            </w:tabs>
            <w:rPr>
              <w:rFonts w:asciiTheme="minorHAnsi" w:eastAsiaTheme="minorEastAsia" w:hAnsiTheme="minorHAnsi"/>
              <w:noProof/>
              <w:sz w:val="22"/>
              <w:lang w:eastAsia="ru-RU"/>
            </w:rPr>
          </w:pPr>
          <w:hyperlink w:anchor="_Toc40288805" w:history="1">
            <w:r w:rsidR="009F2A6D" w:rsidRPr="00C36F9B">
              <w:rPr>
                <w:rStyle w:val="ab"/>
                <w:rFonts w:cs="Times New Roman"/>
                <w:b/>
                <w:noProof/>
              </w:rPr>
              <w:t>4. ПОРЯДОК ЗАКРЫТИЯ ПОЗИЦИИ</w:t>
            </w:r>
            <w:r w:rsidR="009F2A6D">
              <w:rPr>
                <w:noProof/>
                <w:webHidden/>
              </w:rPr>
              <w:tab/>
            </w:r>
            <w:r w:rsidR="009F2A6D">
              <w:rPr>
                <w:noProof/>
                <w:webHidden/>
              </w:rPr>
              <w:fldChar w:fldCharType="begin"/>
            </w:r>
            <w:r w:rsidR="009F2A6D">
              <w:rPr>
                <w:noProof/>
                <w:webHidden/>
              </w:rPr>
              <w:instrText xml:space="preserve"> PAGEREF _Toc40288805 \h </w:instrText>
            </w:r>
            <w:r w:rsidR="009F2A6D">
              <w:rPr>
                <w:noProof/>
                <w:webHidden/>
              </w:rPr>
            </w:r>
            <w:r w:rsidR="009F2A6D">
              <w:rPr>
                <w:noProof/>
                <w:webHidden/>
              </w:rPr>
              <w:fldChar w:fldCharType="separate"/>
            </w:r>
            <w:r w:rsidR="009F2A6D">
              <w:rPr>
                <w:noProof/>
                <w:webHidden/>
              </w:rPr>
              <w:t>6</w:t>
            </w:r>
            <w:r w:rsidR="009F2A6D">
              <w:rPr>
                <w:noProof/>
                <w:webHidden/>
              </w:rPr>
              <w:fldChar w:fldCharType="end"/>
            </w:r>
          </w:hyperlink>
        </w:p>
        <w:p w:rsidR="009F2A6D" w:rsidRDefault="009F2A6D">
          <w:r>
            <w:rPr>
              <w:b/>
              <w:bCs/>
            </w:rPr>
            <w:fldChar w:fldCharType="end"/>
          </w:r>
        </w:p>
      </w:sdtContent>
    </w:sdt>
    <w:p w:rsidR="009F2A6D" w:rsidRDefault="009F2A6D" w:rsidP="004C6DF7">
      <w:r>
        <w:br w:type="page"/>
      </w:r>
    </w:p>
    <w:p w:rsidR="004C6DF7" w:rsidRPr="007A085B" w:rsidRDefault="004C6DF7" w:rsidP="004C6DF7"/>
    <w:p w:rsidR="002D5E63" w:rsidRPr="00422D99" w:rsidRDefault="002D5E63" w:rsidP="00422D99">
      <w:pPr>
        <w:pStyle w:val="1"/>
        <w:rPr>
          <w:rFonts w:ascii="Times New Roman" w:hAnsi="Times New Roman" w:cs="Times New Roman"/>
          <w:b/>
          <w:sz w:val="28"/>
          <w:szCs w:val="28"/>
        </w:rPr>
      </w:pPr>
      <w:bookmarkStart w:id="1" w:name="_Toc40288802"/>
      <w:r w:rsidRPr="00422D99">
        <w:rPr>
          <w:rFonts w:ascii="Times New Roman" w:hAnsi="Times New Roman" w:cs="Times New Roman"/>
          <w:b/>
          <w:color w:val="auto"/>
          <w:sz w:val="28"/>
          <w:szCs w:val="28"/>
        </w:rPr>
        <w:t>1. ОБЩИЕ ПОЛОЖЕНИЯ</w:t>
      </w:r>
      <w:bookmarkEnd w:id="1"/>
    </w:p>
    <w:p w:rsidR="002D5E63" w:rsidRDefault="007607F0" w:rsidP="002D5E63">
      <w:r>
        <w:t xml:space="preserve">1.1. </w:t>
      </w:r>
      <w:r w:rsidR="004C6DF7">
        <w:t>Настоящий п</w:t>
      </w:r>
      <w:r w:rsidR="002D5E63">
        <w:t xml:space="preserve">орядок (далее – Порядок) определяет порядок </w:t>
      </w:r>
      <w:r w:rsidR="004C6DF7">
        <w:t xml:space="preserve">закрытия непокрытых позиций клиентов брокерского обслуживания ПАО «Совкомбанк» </w:t>
      </w:r>
      <w:r w:rsidR="002D5E63">
        <w:t>(далее - Б</w:t>
      </w:r>
      <w:r w:rsidR="00F41252">
        <w:t>анк</w:t>
      </w:r>
      <w:r w:rsidR="002D5E63">
        <w:t>)</w:t>
      </w:r>
      <w:r w:rsidR="004C6DF7">
        <w:t>, отнесенных</w:t>
      </w:r>
      <w:r w:rsidR="002D5E63">
        <w:t xml:space="preserve"> к категории клиентов со стандартным и</w:t>
      </w:r>
      <w:r w:rsidR="004C6DF7">
        <w:t>ли</w:t>
      </w:r>
      <w:r w:rsidR="002D5E63">
        <w:t xml:space="preserve"> повышенным уровнем риска в соответствии с Указани</w:t>
      </w:r>
      <w:r>
        <w:t>ем</w:t>
      </w:r>
      <w:r w:rsidR="002D5E63">
        <w:t xml:space="preserve"> Банка России от </w:t>
      </w:r>
      <w:r w:rsidR="00AA5E39">
        <w:t>26.11.2020</w:t>
      </w:r>
      <w:r w:rsidR="002D5E63">
        <w:t xml:space="preserve"> № </w:t>
      </w:r>
      <w:r w:rsidR="00AA5E39">
        <w:t>5636</w:t>
      </w:r>
      <w:r w:rsidR="002D5E63">
        <w:t xml:space="preserve">-У (далее - Указание </w:t>
      </w:r>
      <w:r w:rsidR="00AA5E39">
        <w:t>5636</w:t>
      </w:r>
      <w:r w:rsidR="002D5E63">
        <w:t>-У).</w:t>
      </w:r>
    </w:p>
    <w:p w:rsidR="004C6DF7" w:rsidRDefault="002D5E63" w:rsidP="002D5E63">
      <w:r>
        <w:t xml:space="preserve">1.2. </w:t>
      </w:r>
      <w:r w:rsidR="00FF514F">
        <w:t xml:space="preserve">Порядок </w:t>
      </w:r>
      <w:r w:rsidR="00F147AA">
        <w:t xml:space="preserve">разработан в соответствии со </w:t>
      </w:r>
      <w:r w:rsidR="004C6DF7">
        <w:t>следующи</w:t>
      </w:r>
      <w:r w:rsidR="00F147AA">
        <w:t>ми нормативно-правовыми</w:t>
      </w:r>
      <w:r w:rsidR="007A085B">
        <w:t xml:space="preserve"> документами</w:t>
      </w:r>
      <w:r w:rsidR="004C6DF7">
        <w:t>:</w:t>
      </w:r>
    </w:p>
    <w:p w:rsidR="004C6DF7" w:rsidRDefault="004C6DF7" w:rsidP="004C6DF7">
      <w:pPr>
        <w:pStyle w:val="a3"/>
        <w:numPr>
          <w:ilvl w:val="0"/>
          <w:numId w:val="1"/>
        </w:numPr>
      </w:pPr>
      <w:r>
        <w:t>Федеральный закон от 22.04.1996 №39-ФЗ «О рынке ценных бумаг»</w:t>
      </w:r>
    </w:p>
    <w:p w:rsidR="004C6DF7" w:rsidRDefault="007607F0" w:rsidP="007607F0">
      <w:pPr>
        <w:pStyle w:val="a3"/>
        <w:numPr>
          <w:ilvl w:val="0"/>
          <w:numId w:val="1"/>
        </w:numPr>
      </w:pPr>
      <w:r>
        <w:t xml:space="preserve">Указание Банка России </w:t>
      </w:r>
      <w:r w:rsidR="00AA5E39">
        <w:t>от 26.11.2020 № 5636-У</w:t>
      </w:r>
      <w:r>
        <w:t xml:space="preserve"> ««О требованиях к осуществлению брокерской деятельности при совершении брокером отдельных сделок</w:t>
      </w:r>
      <w:r w:rsidR="00AA5E39">
        <w:t xml:space="preserve"> за счет клиента</w:t>
      </w:r>
      <w:r>
        <w:t>»</w:t>
      </w:r>
    </w:p>
    <w:p w:rsidR="00F147AA" w:rsidRDefault="00F147AA" w:rsidP="007607F0">
      <w:pPr>
        <w:pStyle w:val="a3"/>
        <w:numPr>
          <w:ilvl w:val="0"/>
          <w:numId w:val="1"/>
        </w:numPr>
      </w:pPr>
      <w:r>
        <w:t xml:space="preserve">Регламент </w:t>
      </w:r>
      <w:r w:rsidR="00FF5A19">
        <w:t>оказания услуг на финансовых рынках</w:t>
      </w:r>
      <w:r w:rsidR="009B38BD">
        <w:t xml:space="preserve"> ПАО «Совкомбанк» (далее – Регламент)</w:t>
      </w:r>
    </w:p>
    <w:p w:rsidR="007607F0" w:rsidRDefault="007607F0" w:rsidP="007607F0">
      <w:pPr>
        <w:pStyle w:val="a3"/>
        <w:numPr>
          <w:ilvl w:val="0"/>
          <w:numId w:val="1"/>
        </w:numPr>
      </w:pPr>
      <w:r>
        <w:t>Иные нормативно-правовые акт</w:t>
      </w:r>
      <w:r w:rsidR="00FF514F">
        <w:t>ы</w:t>
      </w:r>
      <w:r>
        <w:t xml:space="preserve"> законодательства Российской Федерации, регулирующие проведение операций на финансовых рынках</w:t>
      </w:r>
    </w:p>
    <w:p w:rsidR="007607F0" w:rsidRDefault="007607F0" w:rsidP="002D5E63">
      <w:r>
        <w:t>1.</w:t>
      </w:r>
      <w:r w:rsidR="007A085B">
        <w:t>3</w:t>
      </w:r>
      <w:r>
        <w:t>. Все временные сроки в Порядке</w:t>
      </w:r>
      <w:r w:rsidR="00FF514F">
        <w:t xml:space="preserve"> определяются по Московскому времени.</w:t>
      </w:r>
    </w:p>
    <w:p w:rsidR="00FF514F" w:rsidRDefault="00FF514F" w:rsidP="002D5E63">
      <w:r>
        <w:t>1.</w:t>
      </w:r>
      <w:r w:rsidR="007A085B">
        <w:t>4</w:t>
      </w:r>
      <w:r>
        <w:t xml:space="preserve">. Порядок является внутренним документом </w:t>
      </w:r>
      <w:r w:rsidR="003507A7">
        <w:t>Банк</w:t>
      </w:r>
      <w:r>
        <w:t>а.</w:t>
      </w:r>
    </w:p>
    <w:p w:rsidR="00F83A65" w:rsidRDefault="00F83A65" w:rsidP="002D5E63"/>
    <w:p w:rsidR="002D5E63" w:rsidRPr="00864B0F" w:rsidRDefault="002D5E63" w:rsidP="00864B0F">
      <w:pPr>
        <w:pStyle w:val="1"/>
        <w:rPr>
          <w:rFonts w:ascii="Times New Roman" w:hAnsi="Times New Roman" w:cs="Times New Roman"/>
          <w:b/>
          <w:sz w:val="28"/>
          <w:szCs w:val="28"/>
        </w:rPr>
      </w:pPr>
      <w:bookmarkStart w:id="2" w:name="_Toc40288803"/>
      <w:r w:rsidRPr="00864B0F">
        <w:rPr>
          <w:rFonts w:ascii="Times New Roman" w:hAnsi="Times New Roman" w:cs="Times New Roman"/>
          <w:b/>
          <w:color w:val="auto"/>
          <w:sz w:val="28"/>
          <w:szCs w:val="28"/>
        </w:rPr>
        <w:t>2. ТЕРМИНЫ И ОПРЕДЕЛЕНИЯ</w:t>
      </w:r>
      <w:bookmarkEnd w:id="2"/>
    </w:p>
    <w:p w:rsidR="002D5E63" w:rsidRDefault="002D5E63" w:rsidP="002D5E63">
      <w:r>
        <w:t xml:space="preserve">2.1. Термины и определения, используемые в </w:t>
      </w:r>
      <w:r w:rsidR="00F147AA">
        <w:t>Порядке</w:t>
      </w:r>
      <w:r>
        <w:t>, имеют следующее значение:</w:t>
      </w:r>
    </w:p>
    <w:p w:rsidR="009C2577" w:rsidRDefault="009C2577" w:rsidP="009C2577">
      <w:pPr>
        <w:pStyle w:val="a3"/>
        <w:numPr>
          <w:ilvl w:val="0"/>
          <w:numId w:val="3"/>
        </w:numPr>
      </w:pPr>
      <w:r w:rsidRPr="009C2577">
        <w:rPr>
          <w:b/>
        </w:rPr>
        <w:t>Актив</w:t>
      </w:r>
      <w:r>
        <w:t xml:space="preserve"> — учитываемые на Торговом счете Клиента денежные средства, иностранная валюта, ценные бумаги российских и иностранных эмитентов, иностранные финансовые инструменты,</w:t>
      </w:r>
      <w:r w:rsidRPr="00994074">
        <w:t xml:space="preserve"> </w:t>
      </w:r>
      <w:r>
        <w:t>не квалифицированные в качестве ценных бумаг.</w:t>
      </w:r>
    </w:p>
    <w:p w:rsidR="009C2577" w:rsidRDefault="009C2577" w:rsidP="009C2577">
      <w:pPr>
        <w:pStyle w:val="a3"/>
        <w:numPr>
          <w:ilvl w:val="0"/>
          <w:numId w:val="3"/>
        </w:numPr>
      </w:pPr>
      <w:r w:rsidRPr="009C2577">
        <w:rPr>
          <w:b/>
        </w:rPr>
        <w:t>Валютный инструмент</w:t>
      </w:r>
      <w:r>
        <w:t xml:space="preserve"> — предмет сделки купли-продажи одной иностранной валюты за другую иностранную</w:t>
      </w:r>
      <w:r w:rsidRPr="00994074">
        <w:t xml:space="preserve"> </w:t>
      </w:r>
      <w:r>
        <w:t>валюту, заключаемой на биржевом организованном рынке и определяемой совокупностью стандартных условий,</w:t>
      </w:r>
      <w:r w:rsidRPr="00994074">
        <w:t xml:space="preserve"> </w:t>
      </w:r>
      <w:r>
        <w:t>предусмотренных спецификацией.</w:t>
      </w:r>
    </w:p>
    <w:p w:rsidR="009C2577" w:rsidRDefault="009C2577" w:rsidP="009C2577">
      <w:pPr>
        <w:pStyle w:val="a3"/>
        <w:numPr>
          <w:ilvl w:val="0"/>
          <w:numId w:val="3"/>
        </w:numPr>
      </w:pPr>
      <w:r w:rsidRPr="009C2577">
        <w:rPr>
          <w:b/>
        </w:rPr>
        <w:t>Временно Непокрытая позиция</w:t>
      </w:r>
      <w:r>
        <w:t xml:space="preserve"> — отрицательная позиция по ценным бумагам, Валютным инструментам и/или денежным средствам, определяемая</w:t>
      </w:r>
      <w:r w:rsidRPr="00994074">
        <w:t xml:space="preserve"> </w:t>
      </w:r>
      <w:r>
        <w:t xml:space="preserve">исходя из суммы требований и обязательства Клиента по ранее заключенным сделкам с каждым </w:t>
      </w:r>
      <w:r w:rsidRPr="007A085B">
        <w:t>Активом,</w:t>
      </w:r>
      <w:r>
        <w:t xml:space="preserve"> подлежащим</w:t>
      </w:r>
      <w:r w:rsidRPr="00994074">
        <w:t xml:space="preserve"> </w:t>
      </w:r>
      <w:r>
        <w:t>исполнению до конца текущего дня.</w:t>
      </w:r>
    </w:p>
    <w:p w:rsidR="009C2577" w:rsidRDefault="00AA5E39" w:rsidP="00AA5E39">
      <w:pPr>
        <w:pStyle w:val="a3"/>
        <w:numPr>
          <w:ilvl w:val="0"/>
          <w:numId w:val="3"/>
        </w:numPr>
      </w:pPr>
      <w:r w:rsidRPr="00AA5E39">
        <w:rPr>
          <w:b/>
        </w:rPr>
        <w:t>Договор о брокерском обслуживании (Договор, Брокерский договор)</w:t>
      </w:r>
      <w:r w:rsidR="009C2577">
        <w:t xml:space="preserve"> – договор </w:t>
      </w:r>
      <w:r w:rsidR="009C2577" w:rsidRPr="00F41252">
        <w:t xml:space="preserve">между </w:t>
      </w:r>
      <w:r w:rsidR="009C2577">
        <w:t>Банком</w:t>
      </w:r>
      <w:r w:rsidR="009C2577" w:rsidRPr="00F41252">
        <w:t xml:space="preserve"> и Клиентом, заключенный путем присоединения Клиента к Регламенту </w:t>
      </w:r>
      <w:r w:rsidR="00FF5A19">
        <w:t>оказания услуг на финансовых рынках</w:t>
      </w:r>
      <w:r w:rsidR="009C2577" w:rsidRPr="00F41252">
        <w:t>, по которому Банк обязуется за вознаграждение совершать от своего имени или от имени Клиента, за счет и по поручению Клиента юридические и иные действия, связанные с заключением Сделок с Ценными бумагами, Срочными сделками или сделками с Валютой, на условиях и в порядке, предусмотренных Договором.</w:t>
      </w:r>
    </w:p>
    <w:p w:rsidR="009C2577" w:rsidRDefault="009C2577" w:rsidP="009C2577">
      <w:pPr>
        <w:pStyle w:val="a3"/>
        <w:numPr>
          <w:ilvl w:val="0"/>
          <w:numId w:val="3"/>
        </w:numPr>
      </w:pPr>
      <w:r w:rsidRPr="009C2577">
        <w:rPr>
          <w:b/>
        </w:rPr>
        <w:t>Достаточность средств</w:t>
      </w:r>
      <w:r>
        <w:t xml:space="preserve"> – состояние стоимости портфеля Клиента и требуемого обеспечения, при котором нормативы покрытия риска (НПР1 и НПР2) находятся выше уровня заданных ограничений.</w:t>
      </w:r>
    </w:p>
    <w:p w:rsidR="009C2577" w:rsidRPr="009C2577" w:rsidRDefault="009C2577" w:rsidP="009C2577">
      <w:pPr>
        <w:pStyle w:val="a3"/>
        <w:numPr>
          <w:ilvl w:val="0"/>
          <w:numId w:val="3"/>
        </w:numPr>
        <w:rPr>
          <w:rFonts w:cs="Times New Roman"/>
        </w:rPr>
      </w:pPr>
      <w:r w:rsidRPr="009C2577">
        <w:rPr>
          <w:rFonts w:cs="Times New Roman"/>
          <w:b/>
        </w:rPr>
        <w:t>Закрытие позиции</w:t>
      </w:r>
      <w:r w:rsidRPr="009C2577">
        <w:rPr>
          <w:rFonts w:cs="Times New Roman"/>
          <w:b/>
          <w:i/>
        </w:rPr>
        <w:t xml:space="preserve"> </w:t>
      </w:r>
      <w:r w:rsidRPr="009C2577">
        <w:rPr>
          <w:rFonts w:cs="Times New Roman"/>
        </w:rPr>
        <w:t>— прекращение всех прав и обязанностей Клиента по Открытой позиции в результате совершения Офсетной Сделки, или иных действий, предусмотренных Правилами ТС.</w:t>
      </w:r>
    </w:p>
    <w:p w:rsidR="009C2577" w:rsidRDefault="009C2577" w:rsidP="009C2577">
      <w:pPr>
        <w:pStyle w:val="a3"/>
        <w:numPr>
          <w:ilvl w:val="0"/>
          <w:numId w:val="3"/>
        </w:numPr>
      </w:pPr>
      <w:r w:rsidRPr="009C2577">
        <w:rPr>
          <w:b/>
        </w:rPr>
        <w:lastRenderedPageBreak/>
        <w:t>Категория клиента по уровню риска</w:t>
      </w:r>
      <w:r>
        <w:t xml:space="preserve"> – предусмотренные Указанием </w:t>
      </w:r>
      <w:r w:rsidR="007F694B" w:rsidRPr="00CF6A62">
        <w:t>5636</w:t>
      </w:r>
      <w:r>
        <w:t>-У категории, к которым Банк относит своих Клиентов: Клиенты со стандартным уровнем риска (КСУР), Клиенты с повышенным уровнем риска (КПУР) и Клиенты с особым уровнем риска (КОУР).</w:t>
      </w:r>
    </w:p>
    <w:p w:rsidR="009C2577" w:rsidRDefault="009C2577" w:rsidP="009C2577">
      <w:pPr>
        <w:pStyle w:val="a3"/>
        <w:numPr>
          <w:ilvl w:val="0"/>
          <w:numId w:val="3"/>
        </w:numPr>
      </w:pPr>
      <w:r w:rsidRPr="009C2577">
        <w:rPr>
          <w:b/>
        </w:rPr>
        <w:t>Клиент</w:t>
      </w:r>
      <w:r>
        <w:t xml:space="preserve"> - </w:t>
      </w:r>
      <w:r w:rsidRPr="009C2577">
        <w:rPr>
          <w:rFonts w:cs="Times New Roman"/>
        </w:rPr>
        <w:t>юридическое или физическое лицо, резидент или нерезидент Российской Федерации, заключивший с Банком Договор.</w:t>
      </w:r>
    </w:p>
    <w:p w:rsidR="009C2577" w:rsidRDefault="009C2577" w:rsidP="009C2577">
      <w:pPr>
        <w:pStyle w:val="a3"/>
        <w:numPr>
          <w:ilvl w:val="0"/>
          <w:numId w:val="3"/>
        </w:numPr>
      </w:pPr>
      <w:r w:rsidRPr="009C2577">
        <w:rPr>
          <w:b/>
        </w:rPr>
        <w:t>Маржинальная торговля</w:t>
      </w:r>
      <w:r>
        <w:t xml:space="preserve"> — услуга по предоставлению Клиенту возможности заключать Непокрытые сделки</w:t>
      </w:r>
      <w:r w:rsidRPr="00994074">
        <w:t xml:space="preserve"> </w:t>
      </w:r>
      <w:r>
        <w:t xml:space="preserve">и совершать операции, приводящие к возникновению или увеличению Непокрытой позиции. </w:t>
      </w:r>
    </w:p>
    <w:p w:rsidR="009C2577" w:rsidRDefault="009C2577" w:rsidP="009C2577">
      <w:pPr>
        <w:pStyle w:val="a3"/>
        <w:numPr>
          <w:ilvl w:val="0"/>
          <w:numId w:val="3"/>
        </w:numPr>
      </w:pPr>
      <w:r w:rsidRPr="009C2577">
        <w:rPr>
          <w:b/>
        </w:rPr>
        <w:t>Минимальная маржа</w:t>
      </w:r>
      <w:r>
        <w:t xml:space="preserve"> — минимальное требуемое обеспечение под Плановую позицию Клиента, рассчитываемое</w:t>
      </w:r>
      <w:r w:rsidRPr="00994074">
        <w:t xml:space="preserve"> </w:t>
      </w:r>
      <w:r>
        <w:t xml:space="preserve">в соответствии с п. 15 Приложения к Указанию </w:t>
      </w:r>
      <w:r w:rsidR="00AB6738">
        <w:t xml:space="preserve">Банка России № </w:t>
      </w:r>
      <w:r w:rsidR="009629B8">
        <w:t>5636</w:t>
      </w:r>
      <w:r>
        <w:t>-У.</w:t>
      </w:r>
    </w:p>
    <w:p w:rsidR="009C2577" w:rsidRDefault="009C2577" w:rsidP="009C2577">
      <w:pPr>
        <w:pStyle w:val="a3"/>
        <w:numPr>
          <w:ilvl w:val="0"/>
          <w:numId w:val="3"/>
        </w:numPr>
      </w:pPr>
      <w:r w:rsidRPr="009C2577">
        <w:rPr>
          <w:b/>
        </w:rPr>
        <w:t>Начальная маржа</w:t>
      </w:r>
      <w:r>
        <w:t xml:space="preserve"> — начальное требуемое обеспечение под Плановую позицию </w:t>
      </w:r>
      <w:r w:rsidR="003507A7">
        <w:t>Клиента</w:t>
      </w:r>
      <w:r>
        <w:t>, рассчитываемое</w:t>
      </w:r>
      <w:r w:rsidRPr="00CB5ADD">
        <w:t xml:space="preserve"> </w:t>
      </w:r>
      <w:r>
        <w:t xml:space="preserve">в соответствии с п. 15 и п. 16 Приложения к Указанию Банка России № </w:t>
      </w:r>
      <w:r w:rsidR="009629B8">
        <w:t>5636</w:t>
      </w:r>
      <w:r>
        <w:t>-У.</w:t>
      </w:r>
    </w:p>
    <w:p w:rsidR="009C2577" w:rsidRDefault="009C2577" w:rsidP="009C2577">
      <w:pPr>
        <w:pStyle w:val="a3"/>
        <w:numPr>
          <w:ilvl w:val="0"/>
          <w:numId w:val="3"/>
        </w:numPr>
      </w:pPr>
      <w:r w:rsidRPr="009C2577">
        <w:rPr>
          <w:b/>
        </w:rPr>
        <w:t>Непокрытая позиция</w:t>
      </w:r>
      <w:r>
        <w:t xml:space="preserve"> — отрицательная Плановая позиция по ценным бумагам, Валютным инструментам и/или денежным средствам, определяемая</w:t>
      </w:r>
      <w:r w:rsidRPr="00994074">
        <w:t xml:space="preserve"> </w:t>
      </w:r>
      <w:r>
        <w:t xml:space="preserve">исходя из суммы требований и обязательства Клиента по ранее заключенным сделкам с каждым </w:t>
      </w:r>
      <w:r w:rsidRPr="007A085B">
        <w:t>Активом</w:t>
      </w:r>
      <w:r>
        <w:t>.</w:t>
      </w:r>
    </w:p>
    <w:p w:rsidR="009C2577" w:rsidRDefault="009C2577" w:rsidP="009C2577">
      <w:pPr>
        <w:pStyle w:val="a3"/>
        <w:numPr>
          <w:ilvl w:val="0"/>
          <w:numId w:val="3"/>
        </w:numPr>
      </w:pPr>
      <w:r w:rsidRPr="009C2577">
        <w:rPr>
          <w:b/>
        </w:rPr>
        <w:t>Непокрытая сделка</w:t>
      </w:r>
      <w:r>
        <w:t xml:space="preserve"> — сделка купли-продажи ценных бумаг и/или </w:t>
      </w:r>
      <w:r w:rsidRPr="004650CD">
        <w:t>Валютных инструментов,</w:t>
      </w:r>
      <w:r>
        <w:t xml:space="preserve"> приводящая</w:t>
      </w:r>
      <w:r w:rsidRPr="00994074">
        <w:t xml:space="preserve"> </w:t>
      </w:r>
      <w:r>
        <w:t>к возникновению или увеличению в абсолютном выражении отрицательного значения Плановой позиции</w:t>
      </w:r>
      <w:r w:rsidRPr="00994074">
        <w:t xml:space="preserve"> </w:t>
      </w:r>
      <w:r>
        <w:t>Клиента по ценной бумаге, по Валюте и/или по денежным средствам.</w:t>
      </w:r>
    </w:p>
    <w:p w:rsidR="009C2577" w:rsidRPr="009C2577" w:rsidRDefault="009C2577" w:rsidP="009C2577">
      <w:pPr>
        <w:pStyle w:val="a3"/>
        <w:numPr>
          <w:ilvl w:val="0"/>
          <w:numId w:val="3"/>
        </w:numPr>
        <w:autoSpaceDE w:val="0"/>
        <w:autoSpaceDN w:val="0"/>
        <w:adjustRightInd w:val="0"/>
        <w:spacing w:before="0" w:after="0" w:line="240" w:lineRule="auto"/>
        <w:rPr>
          <w:rFonts w:cs="Times New Roman"/>
          <w:szCs w:val="24"/>
        </w:rPr>
      </w:pPr>
      <w:r w:rsidRPr="009C2577">
        <w:rPr>
          <w:b/>
        </w:rPr>
        <w:t>НПР1</w:t>
      </w:r>
      <w:r>
        <w:t xml:space="preserve"> – </w:t>
      </w:r>
      <w:r w:rsidRPr="009C2577">
        <w:rPr>
          <w:rFonts w:cs="Times New Roman"/>
          <w:szCs w:val="24"/>
        </w:rPr>
        <w:t>норматив покрытия риска при исполнении поручений клиента, представляющий собой разницу между значением Стоимости портфеля Клиента и значением Начальной маржи.</w:t>
      </w:r>
    </w:p>
    <w:p w:rsidR="009C2577" w:rsidRPr="009C2577" w:rsidRDefault="009C2577" w:rsidP="009C2577">
      <w:pPr>
        <w:pStyle w:val="a3"/>
        <w:numPr>
          <w:ilvl w:val="0"/>
          <w:numId w:val="3"/>
        </w:numPr>
        <w:autoSpaceDE w:val="0"/>
        <w:autoSpaceDN w:val="0"/>
        <w:adjustRightInd w:val="0"/>
        <w:spacing w:before="0" w:after="0" w:line="240" w:lineRule="auto"/>
        <w:rPr>
          <w:rFonts w:cs="Times New Roman"/>
          <w:szCs w:val="24"/>
        </w:rPr>
      </w:pPr>
      <w:r w:rsidRPr="009C2577">
        <w:rPr>
          <w:b/>
        </w:rPr>
        <w:t>НПР2</w:t>
      </w:r>
      <w:r>
        <w:t xml:space="preserve"> – </w:t>
      </w:r>
      <w:r w:rsidRPr="009C2577">
        <w:rPr>
          <w:rFonts w:cs="Times New Roman"/>
          <w:szCs w:val="24"/>
        </w:rPr>
        <w:t>норматив покрытия риска при изменении стоимости портфеля клиента, представляющий собой разницу между значением Стоимости портфеля Клиента и значением Минимальной маржи.</w:t>
      </w:r>
    </w:p>
    <w:p w:rsidR="00826A24" w:rsidRDefault="009C2577" w:rsidP="009C2577">
      <w:pPr>
        <w:pStyle w:val="a3"/>
        <w:numPr>
          <w:ilvl w:val="0"/>
          <w:numId w:val="3"/>
        </w:numPr>
      </w:pPr>
      <w:r w:rsidRPr="00826A24">
        <w:rPr>
          <w:b/>
        </w:rPr>
        <w:t>Ограничительное время закрытия позиций</w:t>
      </w:r>
      <w:r>
        <w:t xml:space="preserve"> — </w:t>
      </w:r>
      <w:r w:rsidR="00826A24" w:rsidRPr="00826A24">
        <w:t>время, до которого снижение Стоимости Портфеля Клиента ниже размера Минимальной маржи влечет закрытие позиций Клиента в течение указанного торгового дня. Соответствует 16:00 по московскому времени.</w:t>
      </w:r>
    </w:p>
    <w:p w:rsidR="009C2577" w:rsidRDefault="009C2577" w:rsidP="009C2577">
      <w:pPr>
        <w:pStyle w:val="a3"/>
        <w:numPr>
          <w:ilvl w:val="0"/>
          <w:numId w:val="3"/>
        </w:numPr>
      </w:pPr>
      <w:r w:rsidRPr="00826A24">
        <w:rPr>
          <w:b/>
        </w:rPr>
        <w:t>Плановая позиция</w:t>
      </w:r>
      <w:r>
        <w:t xml:space="preserve"> — количество ценных бумаг каждого эмитента, предоставляющих одинаковый объем прав</w:t>
      </w:r>
      <w:r w:rsidRPr="00CB5ADD">
        <w:t xml:space="preserve"> </w:t>
      </w:r>
      <w:r>
        <w:t>или сумма денежных средств в разрезе валют, составляющих Портфель Клиента с учетом прав требования</w:t>
      </w:r>
      <w:r w:rsidRPr="00CB5ADD">
        <w:t xml:space="preserve"> </w:t>
      </w:r>
      <w:r>
        <w:t>и обязательств по заключенным и не рассчитанным Торговым операциям (сделкам) Клиента и Неторговым</w:t>
      </w:r>
      <w:r w:rsidRPr="00CB5ADD">
        <w:t xml:space="preserve"> </w:t>
      </w:r>
      <w:r>
        <w:t xml:space="preserve">операциям Клиента. </w:t>
      </w:r>
    </w:p>
    <w:p w:rsidR="009C2577" w:rsidRDefault="009C2577" w:rsidP="009C2577">
      <w:pPr>
        <w:pStyle w:val="a3"/>
        <w:numPr>
          <w:ilvl w:val="0"/>
          <w:numId w:val="3"/>
        </w:numPr>
      </w:pPr>
      <w:r w:rsidRPr="009C2577">
        <w:rPr>
          <w:b/>
        </w:rPr>
        <w:t>Портфель Клиента</w:t>
      </w:r>
      <w:r>
        <w:t xml:space="preserve"> — денежные средства, ценные бумаги и иные Активы </w:t>
      </w:r>
      <w:r w:rsidR="003507A7">
        <w:t>Клиента</w:t>
      </w:r>
      <w:r>
        <w:t>,</w:t>
      </w:r>
      <w:r w:rsidRPr="00CB5ADD">
        <w:t xml:space="preserve"> </w:t>
      </w:r>
      <w:r>
        <w:t xml:space="preserve">учитываемые на Торговом счете Клиента, обязательства и задолженность Клиента перед </w:t>
      </w:r>
      <w:r w:rsidR="003507A7">
        <w:t>Банком</w:t>
      </w:r>
      <w:r w:rsidRPr="00CB5ADD">
        <w:t xml:space="preserve"> </w:t>
      </w:r>
      <w:r>
        <w:t>по Торговым операциям (сделкам) с Активами, совершенным в соответствии с заключенным с Клиентом</w:t>
      </w:r>
      <w:r w:rsidRPr="00CB5ADD">
        <w:t xml:space="preserve"> </w:t>
      </w:r>
      <w:r>
        <w:t xml:space="preserve">Договором. </w:t>
      </w:r>
    </w:p>
    <w:p w:rsidR="009C2577" w:rsidRPr="009C2577" w:rsidRDefault="009C2577" w:rsidP="009C2577">
      <w:pPr>
        <w:pStyle w:val="a3"/>
        <w:numPr>
          <w:ilvl w:val="0"/>
          <w:numId w:val="3"/>
        </w:numPr>
        <w:rPr>
          <w:rFonts w:cs="Times New Roman"/>
        </w:rPr>
      </w:pPr>
      <w:r w:rsidRPr="009C2577">
        <w:rPr>
          <w:rFonts w:cs="Times New Roman"/>
          <w:b/>
        </w:rPr>
        <w:t>Сделка РЕПО</w:t>
      </w:r>
      <w:r w:rsidRPr="009C2577">
        <w:rPr>
          <w:rFonts w:cs="Times New Roman"/>
        </w:rPr>
        <w:t xml:space="preserve"> — двусторонняя сделка по продаже (покупке) ценных бумаг (первая часть сделки РЕПО) с обязательством обратной покупки (продажи) ценных бумаг того же выпуска в том же количестве (вторая часть сделки РЕПО) через определенный условиями такой сделки срок и по определенной условиями такой сделки цене.</w:t>
      </w:r>
    </w:p>
    <w:p w:rsidR="009C2577" w:rsidRDefault="009C2577" w:rsidP="009C2577">
      <w:pPr>
        <w:pStyle w:val="a3"/>
        <w:numPr>
          <w:ilvl w:val="0"/>
          <w:numId w:val="3"/>
        </w:numPr>
      </w:pPr>
      <w:r w:rsidRPr="009C2577">
        <w:rPr>
          <w:b/>
        </w:rPr>
        <w:t xml:space="preserve">Стоимость Портфеля </w:t>
      </w:r>
      <w:r w:rsidR="003507A7">
        <w:rPr>
          <w:b/>
        </w:rPr>
        <w:t>Клиента</w:t>
      </w:r>
      <w:r>
        <w:t xml:space="preserve"> — сумма стоимостных оценок Плановых позиций</w:t>
      </w:r>
      <w:r w:rsidRPr="00CB5ADD">
        <w:t xml:space="preserve"> </w:t>
      </w:r>
      <w:r w:rsidR="003507A7">
        <w:t>Клиента</w:t>
      </w:r>
      <w:r>
        <w:t>, рассчитанных по ценным бумагам каждого эмитента, предоставляющих одинаковый объем прав,</w:t>
      </w:r>
      <w:r w:rsidRPr="00CB5ADD">
        <w:t xml:space="preserve"> </w:t>
      </w:r>
      <w:r>
        <w:t xml:space="preserve">и валютам, а также по денежным средствам, учитываемых на Торговом счете </w:t>
      </w:r>
      <w:r w:rsidR="003507A7">
        <w:t>Клиент</w:t>
      </w:r>
      <w:r>
        <w:t xml:space="preserve">а. </w:t>
      </w:r>
    </w:p>
    <w:p w:rsidR="009C2577" w:rsidRDefault="009C2577" w:rsidP="009C2577">
      <w:pPr>
        <w:pStyle w:val="a3"/>
        <w:numPr>
          <w:ilvl w:val="0"/>
          <w:numId w:val="3"/>
        </w:numPr>
      </w:pPr>
      <w:r w:rsidRPr="009C2577">
        <w:rPr>
          <w:b/>
        </w:rPr>
        <w:lastRenderedPageBreak/>
        <w:t>Торговая операция</w:t>
      </w:r>
      <w:r>
        <w:t xml:space="preserve"> — гражданско-правовая сделка с Активами, заключаемая </w:t>
      </w:r>
      <w:r w:rsidR="003507A7">
        <w:t>Банк</w:t>
      </w:r>
      <w:r>
        <w:t>ом от своего имени,</w:t>
      </w:r>
      <w:r w:rsidRPr="00CB5ADD">
        <w:t xml:space="preserve"> </w:t>
      </w:r>
      <w:r>
        <w:t xml:space="preserve">за счет и по поручению </w:t>
      </w:r>
      <w:r w:rsidR="003507A7">
        <w:t>Клиент</w:t>
      </w:r>
      <w:r>
        <w:t>а в порядке, установленном Регламентом.</w:t>
      </w:r>
    </w:p>
    <w:p w:rsidR="009C2577" w:rsidRPr="009C2577" w:rsidRDefault="009C2577" w:rsidP="009C2577">
      <w:pPr>
        <w:pStyle w:val="a3"/>
        <w:numPr>
          <w:ilvl w:val="0"/>
          <w:numId w:val="3"/>
        </w:numPr>
        <w:rPr>
          <w:rFonts w:cs="Times New Roman"/>
        </w:rPr>
      </w:pPr>
      <w:r w:rsidRPr="009C2577">
        <w:rPr>
          <w:rFonts w:cs="Times New Roman"/>
          <w:b/>
        </w:rPr>
        <w:t>Торговая система (ТС)</w:t>
      </w:r>
      <w:r w:rsidRPr="009C2577">
        <w:rPr>
          <w:rFonts w:cs="Times New Roman"/>
          <w:b/>
          <w:i/>
        </w:rPr>
        <w:t xml:space="preserve"> </w:t>
      </w:r>
      <w:r w:rsidRPr="009C2577">
        <w:rPr>
          <w:rFonts w:cs="Times New Roman"/>
        </w:rPr>
        <w:t xml:space="preserve">—фондовые биржи, валютные биржи, иные организованные рынки ценных бумаг (в </w:t>
      </w:r>
      <w:proofErr w:type="spellStart"/>
      <w:r w:rsidRPr="009C2577">
        <w:rPr>
          <w:rFonts w:cs="Times New Roman"/>
        </w:rPr>
        <w:t>т.ч</w:t>
      </w:r>
      <w:proofErr w:type="spellEnd"/>
      <w:r w:rsidRPr="009C2577">
        <w:rPr>
          <w:rFonts w:cs="Times New Roman"/>
        </w:rPr>
        <w:t xml:space="preserve">. иностранные торговые площадки и иные лицензированные организации), заключение и исполнение сделок с ценными бумагами, валютными инструментами, производными финансовыми инструментами, на которых производится по определенным процедурам, установленным в Правилах этих ТС, обязательных для исполнения всеми участниками этих ТС, а также неорганизованный (внебиржевой) рынок, заключение и исполнение сделок с ценными бумагами, производными финансовыми инструментами, валютными инструментами на котором производится исключительно в соответствии c условиями договора, заключенного на внебиржевом рынке. </w:t>
      </w:r>
    </w:p>
    <w:p w:rsidR="009C2577" w:rsidRDefault="009C2577" w:rsidP="009C2577">
      <w:pPr>
        <w:pStyle w:val="a3"/>
        <w:numPr>
          <w:ilvl w:val="0"/>
          <w:numId w:val="3"/>
        </w:numPr>
      </w:pPr>
      <w:r w:rsidRPr="009C2577">
        <w:rPr>
          <w:b/>
        </w:rPr>
        <w:t>Торговое поручение</w:t>
      </w:r>
      <w:r>
        <w:t xml:space="preserve"> — Сообщение по установленной </w:t>
      </w:r>
      <w:r w:rsidR="00FF5A19">
        <w:t>Р</w:t>
      </w:r>
      <w:r>
        <w:t>егламентом</w:t>
      </w:r>
      <w:r w:rsidR="00FF5A19">
        <w:t xml:space="preserve"> </w:t>
      </w:r>
      <w:r>
        <w:t>форме, поданное Клиентом</w:t>
      </w:r>
      <w:r w:rsidRPr="00CB5ADD">
        <w:t xml:space="preserve"> </w:t>
      </w:r>
      <w:r w:rsidR="003507A7">
        <w:t>Банку</w:t>
      </w:r>
      <w:r>
        <w:t xml:space="preserve"> с целью заключения сделки с Активами за счет и в интересах Клиента.</w:t>
      </w:r>
    </w:p>
    <w:p w:rsidR="009C2577" w:rsidRPr="009C2577" w:rsidRDefault="009C2577" w:rsidP="009C2577">
      <w:pPr>
        <w:pStyle w:val="a3"/>
        <w:numPr>
          <w:ilvl w:val="0"/>
          <w:numId w:val="3"/>
        </w:numPr>
        <w:rPr>
          <w:rFonts w:cs="Times New Roman"/>
        </w:rPr>
      </w:pPr>
      <w:r w:rsidRPr="009C2577">
        <w:rPr>
          <w:rFonts w:cs="Times New Roman"/>
          <w:b/>
        </w:rPr>
        <w:t>Торговый день (день Т)</w:t>
      </w:r>
      <w:r w:rsidRPr="009C2577">
        <w:rPr>
          <w:rFonts w:cs="Times New Roman"/>
          <w:b/>
          <w:i/>
        </w:rPr>
        <w:t xml:space="preserve"> </w:t>
      </w:r>
      <w:r w:rsidRPr="009C2577">
        <w:rPr>
          <w:rFonts w:cs="Times New Roman"/>
        </w:rPr>
        <w:t>— день, в который Банк может заключать Сделки в соответствии с Поручением Клиента (день, в который ТС открыта для торгов).</w:t>
      </w:r>
    </w:p>
    <w:p w:rsidR="009C2577" w:rsidRDefault="009C2577" w:rsidP="009C2577">
      <w:pPr>
        <w:pStyle w:val="a3"/>
        <w:numPr>
          <w:ilvl w:val="0"/>
          <w:numId w:val="3"/>
        </w:numPr>
      </w:pPr>
      <w:r w:rsidRPr="009C2577">
        <w:rPr>
          <w:b/>
        </w:rPr>
        <w:t>Торговый счет</w:t>
      </w:r>
      <w:r>
        <w:t xml:space="preserve"> — счет внутреннего учета, открываемый </w:t>
      </w:r>
      <w:r w:rsidR="003507A7">
        <w:t>Банк</w:t>
      </w:r>
      <w:r>
        <w:t>ом при заключении Договора Брокерского Обслуживания</w:t>
      </w:r>
      <w:r w:rsidRPr="00CB5ADD">
        <w:t xml:space="preserve"> </w:t>
      </w:r>
      <w:r>
        <w:t>для обособленного учета Активов Клиента, обязательств из сделок, совершенных за счет Активов Клиента,</w:t>
      </w:r>
      <w:r w:rsidRPr="00CB5ADD">
        <w:t xml:space="preserve"> </w:t>
      </w:r>
      <w:r>
        <w:t xml:space="preserve">обязательств </w:t>
      </w:r>
      <w:r w:rsidR="003507A7">
        <w:t>Банк</w:t>
      </w:r>
      <w:r>
        <w:t>а перед Клиента, а также обязательств Клиента перед</w:t>
      </w:r>
      <w:r w:rsidRPr="00CB5ADD">
        <w:t xml:space="preserve"> </w:t>
      </w:r>
      <w:r w:rsidR="003507A7">
        <w:t>Банк</w:t>
      </w:r>
      <w:r>
        <w:t>ом.</w:t>
      </w:r>
    </w:p>
    <w:p w:rsidR="009C2577" w:rsidRPr="009C2577" w:rsidRDefault="009C2577" w:rsidP="009C2577">
      <w:pPr>
        <w:pStyle w:val="a3"/>
        <w:numPr>
          <w:ilvl w:val="0"/>
          <w:numId w:val="3"/>
        </w:numPr>
        <w:rPr>
          <w:rFonts w:cs="Times New Roman"/>
        </w:rPr>
      </w:pPr>
      <w:r w:rsidRPr="009C2577">
        <w:rPr>
          <w:rFonts w:cs="Times New Roman"/>
          <w:b/>
        </w:rPr>
        <w:t>Требование о закрытии позиции</w:t>
      </w:r>
      <w:r w:rsidRPr="009C2577">
        <w:rPr>
          <w:rFonts w:cs="Times New Roman"/>
        </w:rPr>
        <w:t xml:space="preserve"> — требование о погашении всех или части обязательств Клиента, возникших в связи с возникновением у Клиента Непокрытой позиции либо в связи с уменьшением уровня Гарантийного обеспечения Клиента по всем Открытым позициям, путем внесения Клиентом денежных средств или Ценных бумаг либо путем заключения Срочных сделок, Сделок с Ценными бумагами, направляемое Банком Клиенту в случаях, установленных Регламентом.</w:t>
      </w:r>
    </w:p>
    <w:p w:rsidR="009C2577" w:rsidRDefault="009C2577" w:rsidP="009C2577">
      <w:pPr>
        <w:pStyle w:val="a3"/>
        <w:numPr>
          <w:ilvl w:val="0"/>
          <w:numId w:val="3"/>
        </w:numPr>
      </w:pPr>
      <w:proofErr w:type="spellStart"/>
      <w:r w:rsidRPr="009C2577">
        <w:rPr>
          <w:b/>
        </w:rPr>
        <w:t>Урегулирующая</w:t>
      </w:r>
      <w:proofErr w:type="spellEnd"/>
      <w:r w:rsidRPr="009C2577">
        <w:rPr>
          <w:b/>
        </w:rPr>
        <w:t xml:space="preserve"> сделка</w:t>
      </w:r>
      <w:r>
        <w:t xml:space="preserve"> — Торговая операция (Сделка </w:t>
      </w:r>
      <w:proofErr w:type="spellStart"/>
      <w:r>
        <w:t>Репо</w:t>
      </w:r>
      <w:proofErr w:type="spellEnd"/>
      <w:r>
        <w:t xml:space="preserve"> или </w:t>
      </w:r>
      <w:r w:rsidRPr="007A085B">
        <w:t>Специальная Сделка СВОП),</w:t>
      </w:r>
      <w:r>
        <w:t xml:space="preserve"> совершаемая </w:t>
      </w:r>
      <w:r w:rsidR="003507A7">
        <w:t>Банком</w:t>
      </w:r>
      <w:r>
        <w:t xml:space="preserve"> с целью переноса</w:t>
      </w:r>
      <w:r w:rsidRPr="00CB5ADD">
        <w:t xml:space="preserve"> </w:t>
      </w:r>
      <w:r>
        <w:t>образовавшейся отрицательной позиции по денежным средствам</w:t>
      </w:r>
      <w:r w:rsidR="00826A24">
        <w:t>,</w:t>
      </w:r>
      <w:r>
        <w:t xml:space="preserve"> Ценным бумагам</w:t>
      </w:r>
      <w:r w:rsidR="00826A24">
        <w:t xml:space="preserve"> и/или </w:t>
      </w:r>
      <w:r w:rsidR="00826A24" w:rsidRPr="00D939D4">
        <w:t>валютным инструментам</w:t>
      </w:r>
      <w:r>
        <w:t xml:space="preserve"> на Торговом счете Клиента.</w:t>
      </w:r>
    </w:p>
    <w:p w:rsidR="00C31538" w:rsidRDefault="009C2577" w:rsidP="00C31538">
      <w:pPr>
        <w:pStyle w:val="a3"/>
        <w:numPr>
          <w:ilvl w:val="0"/>
          <w:numId w:val="3"/>
        </w:numPr>
      </w:pPr>
      <w:r w:rsidRPr="009C2577">
        <w:rPr>
          <w:b/>
        </w:rPr>
        <w:t>Ценные бумаги</w:t>
      </w:r>
      <w:r w:rsidRPr="00F41252">
        <w:t xml:space="preserve"> — эмиссионные ценные бумаги (в том смысле, в каком они определяются Федеральным законом 22.04.1996 №39-ФЗ «О рынке ценных бумаг»), в том числе депозитарные расписки, а также инвестиционные паи паевых инвестиционных фондов и Иностранные ценные бумаги/контракты, проведение сделок купли-продажи с которыми допускается действующим Законодательством</w:t>
      </w:r>
      <w:r>
        <w:t>.</w:t>
      </w:r>
    </w:p>
    <w:p w:rsidR="00826A24" w:rsidRDefault="00C31538" w:rsidP="002D5E63">
      <w:r>
        <w:t xml:space="preserve">2.2. </w:t>
      </w:r>
      <w:r w:rsidRPr="00C31538">
        <w:t>Термины и определения, не указанные в п. 2.1. Порядка, понимаются в значении, установленном в Регламенте</w:t>
      </w:r>
      <w:r>
        <w:t xml:space="preserve">, </w:t>
      </w:r>
      <w:r w:rsidRPr="00C31538">
        <w:t>действующим законодательством Российс</w:t>
      </w:r>
      <w:r>
        <w:t xml:space="preserve">кой Федерации, Правилами торгов </w:t>
      </w:r>
      <w:r w:rsidRPr="00C31538">
        <w:t>и/или обычаям делового оборота.</w:t>
      </w:r>
    </w:p>
    <w:p w:rsidR="002D5E63" w:rsidRDefault="002D5E63" w:rsidP="002D5E63">
      <w:r>
        <w:t>2.</w:t>
      </w:r>
      <w:r w:rsidR="00C31538">
        <w:t>3</w:t>
      </w:r>
      <w:r>
        <w:t xml:space="preserve">. </w:t>
      </w:r>
      <w:r w:rsidR="003507A7">
        <w:t>Клиент</w:t>
      </w:r>
      <w:r>
        <w:t xml:space="preserve"> уполномочивает </w:t>
      </w:r>
      <w:r w:rsidR="003507A7">
        <w:t>Банк</w:t>
      </w:r>
      <w:r>
        <w:t xml:space="preserve"> на предоставление организатору торгов/клиринговой организации</w:t>
      </w:r>
      <w:r w:rsidR="00CB5ADD" w:rsidRPr="00CB5ADD">
        <w:t xml:space="preserve"> </w:t>
      </w:r>
      <w:r>
        <w:t xml:space="preserve">от имени </w:t>
      </w:r>
      <w:r w:rsidR="003507A7">
        <w:t>Клиент</w:t>
      </w:r>
      <w:r>
        <w:t xml:space="preserve">а документов, являющихся основанием для регистрации </w:t>
      </w:r>
      <w:r w:rsidR="003507A7">
        <w:t>Клиент</w:t>
      </w:r>
      <w:r>
        <w:t>а в качестве клиента</w:t>
      </w:r>
      <w:r w:rsidR="00CB5ADD" w:rsidRPr="00CB5ADD">
        <w:t xml:space="preserve"> </w:t>
      </w:r>
      <w:r w:rsidR="003507A7">
        <w:t>Банк</w:t>
      </w:r>
      <w:r>
        <w:t xml:space="preserve">а-участника торгов / участника клиринга, а также для изменения информации о </w:t>
      </w:r>
      <w:r w:rsidR="003507A7">
        <w:t>Клиент</w:t>
      </w:r>
      <w:r>
        <w:t>е.</w:t>
      </w:r>
    </w:p>
    <w:p w:rsidR="00F83A65" w:rsidRDefault="00F83A65" w:rsidP="002D5E63"/>
    <w:p w:rsidR="00A264EC" w:rsidRPr="007C444F" w:rsidRDefault="0089484D" w:rsidP="007C444F">
      <w:pPr>
        <w:pStyle w:val="1"/>
        <w:rPr>
          <w:rFonts w:ascii="Times New Roman" w:hAnsi="Times New Roman" w:cs="Times New Roman"/>
          <w:b/>
          <w:sz w:val="28"/>
          <w:szCs w:val="28"/>
        </w:rPr>
      </w:pPr>
      <w:bookmarkStart w:id="3" w:name="_Toc40288804"/>
      <w:r w:rsidRPr="007C444F">
        <w:rPr>
          <w:rFonts w:ascii="Times New Roman" w:hAnsi="Times New Roman" w:cs="Times New Roman"/>
          <w:b/>
          <w:color w:val="auto"/>
          <w:sz w:val="28"/>
          <w:szCs w:val="28"/>
        </w:rPr>
        <w:lastRenderedPageBreak/>
        <w:t>3</w:t>
      </w:r>
      <w:r w:rsidR="00A264EC" w:rsidRPr="007C444F">
        <w:rPr>
          <w:rFonts w:ascii="Times New Roman" w:hAnsi="Times New Roman" w:cs="Times New Roman"/>
          <w:b/>
          <w:color w:val="auto"/>
          <w:sz w:val="28"/>
          <w:szCs w:val="28"/>
        </w:rPr>
        <w:t xml:space="preserve">. </w:t>
      </w:r>
      <w:r w:rsidRPr="007C444F">
        <w:rPr>
          <w:rFonts w:ascii="Times New Roman" w:hAnsi="Times New Roman" w:cs="Times New Roman"/>
          <w:b/>
          <w:color w:val="auto"/>
          <w:sz w:val="28"/>
          <w:szCs w:val="28"/>
        </w:rPr>
        <w:t>УВЕДОМЛЕНИЕ КЛИЕНТА</w:t>
      </w:r>
      <w:bookmarkEnd w:id="3"/>
    </w:p>
    <w:p w:rsidR="00A264EC" w:rsidRDefault="0089484D" w:rsidP="00A264EC">
      <w:pPr>
        <w:rPr>
          <w:rFonts w:cs="Times New Roman"/>
        </w:rPr>
      </w:pPr>
      <w:r>
        <w:t>3</w:t>
      </w:r>
      <w:r w:rsidR="00A264EC">
        <w:t xml:space="preserve">.1. </w:t>
      </w:r>
      <w:r w:rsidR="00A264EC" w:rsidRPr="00F92984">
        <w:rPr>
          <w:rFonts w:cs="Times New Roman"/>
        </w:rPr>
        <w:t>Банк предоставляет Клиенту возможность в любое время получать доступ к информации о стоимости своего Портфеля, о значениях Нача</w:t>
      </w:r>
      <w:r w:rsidR="00A264EC">
        <w:rPr>
          <w:rFonts w:cs="Times New Roman"/>
        </w:rPr>
        <w:t>льной маржи и Минимальной маржи.</w:t>
      </w:r>
    </w:p>
    <w:p w:rsidR="00A264EC" w:rsidRPr="00F92984" w:rsidRDefault="0089484D" w:rsidP="00A264EC">
      <w:pPr>
        <w:rPr>
          <w:rFonts w:cs="Times New Roman"/>
        </w:rPr>
      </w:pPr>
      <w:r>
        <w:rPr>
          <w:rFonts w:cs="Times New Roman"/>
        </w:rPr>
        <w:t>3</w:t>
      </w:r>
      <w:r w:rsidR="00A264EC">
        <w:rPr>
          <w:rFonts w:cs="Times New Roman"/>
        </w:rPr>
        <w:t xml:space="preserve">.2. </w:t>
      </w:r>
      <w:r w:rsidR="00A264EC" w:rsidRPr="00F92984">
        <w:rPr>
          <w:rFonts w:cs="Times New Roman"/>
        </w:rPr>
        <w:t xml:space="preserve">Клиент, имеющий Непокрытую позицию, обязан не менее одного раза в час во время проведения торгов </w:t>
      </w:r>
      <w:r w:rsidR="00A264EC">
        <w:rPr>
          <w:rFonts w:cs="Times New Roman"/>
        </w:rPr>
        <w:t xml:space="preserve">в </w:t>
      </w:r>
      <w:r w:rsidR="00A264EC" w:rsidRPr="00F92984">
        <w:rPr>
          <w:rFonts w:cs="Times New Roman"/>
        </w:rPr>
        <w:t>Торговой Системе сектора Основной рынок проверять через свое Рабочее место QUIK стоимость своего Портфеля, а также значения Начальной маржи и Минимальной маржи для оперативного реагирования на изменение этих показателей.</w:t>
      </w:r>
    </w:p>
    <w:p w:rsidR="00A264EC" w:rsidRDefault="0089484D" w:rsidP="00A264EC">
      <w:pPr>
        <w:rPr>
          <w:rFonts w:cs="Times New Roman"/>
        </w:rPr>
      </w:pPr>
      <w:r>
        <w:t>3</w:t>
      </w:r>
      <w:r w:rsidR="00A264EC">
        <w:t xml:space="preserve">.3. </w:t>
      </w:r>
      <w:r w:rsidR="00A264EC" w:rsidRPr="00F92984">
        <w:rPr>
          <w:rFonts w:cs="Times New Roman"/>
        </w:rPr>
        <w:t xml:space="preserve">Дополнительно, </w:t>
      </w:r>
      <w:r w:rsidR="00A264EC">
        <w:rPr>
          <w:rFonts w:cs="Times New Roman"/>
        </w:rPr>
        <w:t>Банк направляет клиенту оповещение:</w:t>
      </w:r>
    </w:p>
    <w:p w:rsidR="00A264EC" w:rsidRDefault="00A264EC" w:rsidP="00A264EC">
      <w:pPr>
        <w:rPr>
          <w:rFonts w:cs="Times New Roman"/>
        </w:rPr>
      </w:pPr>
      <w:r>
        <w:rPr>
          <w:rFonts w:cs="Times New Roman"/>
        </w:rPr>
        <w:t xml:space="preserve">- </w:t>
      </w:r>
      <w:r w:rsidRPr="00F92984">
        <w:rPr>
          <w:rFonts w:cs="Times New Roman"/>
        </w:rPr>
        <w:t>при первом в течение Торгового дня, случае, когда стоимость Портфеля Клиента стала меньше размера Начальной маржи (</w:t>
      </w:r>
      <w:r>
        <w:rPr>
          <w:rFonts w:cs="Times New Roman"/>
        </w:rPr>
        <w:t>НПР1</w:t>
      </w:r>
      <w:r w:rsidRPr="00D142F9">
        <w:rPr>
          <w:rFonts w:cs="Times New Roman"/>
        </w:rPr>
        <w:t>&lt;0</w:t>
      </w:r>
      <w:r w:rsidRPr="00F92984">
        <w:rPr>
          <w:rFonts w:cs="Times New Roman"/>
        </w:rPr>
        <w:t>), Бан</w:t>
      </w:r>
      <w:r>
        <w:rPr>
          <w:rFonts w:cs="Times New Roman"/>
        </w:rPr>
        <w:t>к направляет Клиенту оповещение</w:t>
      </w:r>
      <w:r w:rsidRPr="00F92984">
        <w:rPr>
          <w:rFonts w:cs="Times New Roman"/>
        </w:rPr>
        <w:t>, со</w:t>
      </w:r>
      <w:r>
        <w:rPr>
          <w:rFonts w:cs="Times New Roman"/>
        </w:rPr>
        <w:t>держащее информацию</w:t>
      </w:r>
      <w:r w:rsidRPr="00F92984">
        <w:rPr>
          <w:rFonts w:cs="Times New Roman"/>
        </w:rPr>
        <w:t xml:space="preserve"> о стоимости Портфеля Клиента, о размере Начальной маржи и о размере Минимальной маржи на момент возникновения основания для направления оповещения. Далее при сохранении выполнения этого же Условия на маржинальные показатели, новое оповещение </w:t>
      </w:r>
      <w:r>
        <w:rPr>
          <w:rFonts w:cs="Times New Roman"/>
        </w:rPr>
        <w:t xml:space="preserve">может </w:t>
      </w:r>
      <w:r w:rsidRPr="00F92984">
        <w:rPr>
          <w:rFonts w:cs="Times New Roman"/>
        </w:rPr>
        <w:t>не направлят</w:t>
      </w:r>
      <w:r>
        <w:rPr>
          <w:rFonts w:cs="Times New Roman"/>
        </w:rPr>
        <w:t>ься.</w:t>
      </w:r>
    </w:p>
    <w:p w:rsidR="00A264EC" w:rsidRDefault="0089484D" w:rsidP="00A264EC">
      <w:pPr>
        <w:rPr>
          <w:rFonts w:cs="Times New Roman"/>
        </w:rPr>
      </w:pPr>
      <w:r>
        <w:rPr>
          <w:rFonts w:cs="Times New Roman"/>
        </w:rPr>
        <w:t>3</w:t>
      </w:r>
      <w:r w:rsidR="00A264EC">
        <w:rPr>
          <w:rFonts w:cs="Times New Roman"/>
        </w:rPr>
        <w:t xml:space="preserve">.4. </w:t>
      </w:r>
      <w:r w:rsidR="00A264EC" w:rsidRPr="00F92984">
        <w:rPr>
          <w:rFonts w:cs="Times New Roman"/>
        </w:rPr>
        <w:t>Оповещение направляются Клиенту на терминал QUIK (Рабочее место QUIK). В случае временной невозможности использования способа обмена сообщениями, предусмотренного данным пунктом, Банк направляет Клиенту опове</w:t>
      </w:r>
      <w:r w:rsidR="00A264EC">
        <w:rPr>
          <w:rFonts w:cs="Times New Roman"/>
        </w:rPr>
        <w:t xml:space="preserve">щение </w:t>
      </w:r>
      <w:r w:rsidR="00A264EC" w:rsidRPr="00F92984">
        <w:rPr>
          <w:rFonts w:cs="Times New Roman"/>
        </w:rPr>
        <w:t>по электронной почте, согласно реквизитам для первичного уведомления или любыми иными доступными Банку способами оперативной связи. Реквизиты для первичного уведомления указываются Клиентом в Дополнительном соглашении к Договору на брокерское обслуживание</w:t>
      </w:r>
      <w:r w:rsidR="00A264EC">
        <w:rPr>
          <w:rFonts w:cs="Times New Roman"/>
        </w:rPr>
        <w:t>.</w:t>
      </w:r>
    </w:p>
    <w:p w:rsidR="00F83A65" w:rsidRPr="00F92984" w:rsidRDefault="00F83A65" w:rsidP="00A264EC">
      <w:pPr>
        <w:rPr>
          <w:rFonts w:cs="Times New Roman"/>
        </w:rPr>
      </w:pPr>
    </w:p>
    <w:p w:rsidR="00A264EC" w:rsidRPr="007C444F" w:rsidRDefault="0089484D" w:rsidP="007C444F">
      <w:pPr>
        <w:pStyle w:val="1"/>
        <w:rPr>
          <w:rFonts w:ascii="Times New Roman" w:hAnsi="Times New Roman" w:cs="Times New Roman"/>
          <w:b/>
          <w:sz w:val="28"/>
          <w:szCs w:val="28"/>
        </w:rPr>
      </w:pPr>
      <w:bookmarkStart w:id="4" w:name="_Toc40288805"/>
      <w:r w:rsidRPr="007C444F">
        <w:rPr>
          <w:rFonts w:ascii="Times New Roman" w:hAnsi="Times New Roman" w:cs="Times New Roman"/>
          <w:b/>
          <w:color w:val="auto"/>
          <w:sz w:val="28"/>
          <w:szCs w:val="28"/>
        </w:rPr>
        <w:t>4</w:t>
      </w:r>
      <w:r w:rsidR="00A264EC" w:rsidRPr="007C444F">
        <w:rPr>
          <w:rFonts w:ascii="Times New Roman" w:hAnsi="Times New Roman" w:cs="Times New Roman"/>
          <w:b/>
          <w:color w:val="auto"/>
          <w:sz w:val="28"/>
          <w:szCs w:val="28"/>
        </w:rPr>
        <w:t xml:space="preserve">. </w:t>
      </w:r>
      <w:r w:rsidRPr="007C444F">
        <w:rPr>
          <w:rFonts w:ascii="Times New Roman" w:hAnsi="Times New Roman" w:cs="Times New Roman"/>
          <w:b/>
          <w:color w:val="auto"/>
          <w:sz w:val="28"/>
          <w:szCs w:val="28"/>
        </w:rPr>
        <w:t>ПОРЯДОК ЗАКРЫТИЯ ПОЗИЦИИ</w:t>
      </w:r>
      <w:bookmarkEnd w:id="4"/>
    </w:p>
    <w:p w:rsidR="00A264EC" w:rsidRDefault="0089484D" w:rsidP="00A264EC">
      <w:pPr>
        <w:rPr>
          <w:rFonts w:cs="Times New Roman"/>
        </w:rPr>
      </w:pPr>
      <w:r>
        <w:t>4</w:t>
      </w:r>
      <w:r w:rsidR="00A264EC">
        <w:t xml:space="preserve">.1. </w:t>
      </w:r>
      <w:r w:rsidR="00A264EC" w:rsidRPr="00F92984">
        <w:rPr>
          <w:rFonts w:cs="Times New Roman"/>
        </w:rPr>
        <w:t>Если стоимость Портфеля Клиента стала меньше соответствующего ему размера Минимальной маржи</w:t>
      </w:r>
      <w:r w:rsidR="00A264EC">
        <w:rPr>
          <w:rFonts w:cs="Times New Roman"/>
        </w:rPr>
        <w:t xml:space="preserve"> (НПР2</w:t>
      </w:r>
      <w:r w:rsidR="00A264EC" w:rsidRPr="000A1CB9">
        <w:rPr>
          <w:rFonts w:cs="Times New Roman"/>
        </w:rPr>
        <w:t>&lt;0</w:t>
      </w:r>
      <w:r w:rsidR="00A264EC">
        <w:rPr>
          <w:rFonts w:cs="Times New Roman"/>
        </w:rPr>
        <w:t>)</w:t>
      </w:r>
      <w:r w:rsidR="00A264EC" w:rsidRPr="00F92984">
        <w:rPr>
          <w:rFonts w:cs="Times New Roman"/>
        </w:rPr>
        <w:t>, Банк совершает действия по снижению указанного размера Минимальной маржи и (или) увеличению стоимости Портфеля Клиента (закрытие позиций). Требования данного пункта не применяются, если до закрытия позиций клиента стоимость Портфеля этого клиента превысила размер Минимальной маржи, или если размер Минимальной маржи равен нулю при отрицательной стоимости Портфеля клиента.</w:t>
      </w:r>
    </w:p>
    <w:p w:rsidR="00A264EC" w:rsidRDefault="0089484D" w:rsidP="00A264EC">
      <w:pPr>
        <w:rPr>
          <w:rFonts w:cs="Times New Roman"/>
        </w:rPr>
      </w:pPr>
      <w:r>
        <w:t>4</w:t>
      </w:r>
      <w:r w:rsidR="00A264EC">
        <w:t xml:space="preserve">.2. Закрытие позиций </w:t>
      </w:r>
      <w:r w:rsidR="00A264EC" w:rsidRPr="00F92984">
        <w:rPr>
          <w:rFonts w:cs="Times New Roman"/>
        </w:rPr>
        <w:t xml:space="preserve">до окончания </w:t>
      </w:r>
      <w:r w:rsidR="00D5338B">
        <w:rPr>
          <w:rFonts w:cs="Times New Roman"/>
        </w:rPr>
        <w:t>текущего торгового дня</w:t>
      </w:r>
      <w:r w:rsidR="00A264EC" w:rsidRPr="00F92984">
        <w:rPr>
          <w:rFonts w:cs="Times New Roman"/>
        </w:rPr>
        <w:t xml:space="preserve">, в который наступило указанное обстоятельство (если стоимость Портфеля стала меньше Минимальной маржи </w:t>
      </w:r>
      <w:r w:rsidR="00D5338B">
        <w:rPr>
          <w:rFonts w:cs="Times New Roman"/>
        </w:rPr>
        <w:t>до Ограничительного времени закрытия позиций)</w:t>
      </w:r>
      <w:r w:rsidR="00A264EC">
        <w:rPr>
          <w:rFonts w:cs="Times New Roman"/>
        </w:rPr>
        <w:t>.</w:t>
      </w:r>
    </w:p>
    <w:p w:rsidR="00A264EC" w:rsidRDefault="0089484D" w:rsidP="00A264EC">
      <w:pPr>
        <w:rPr>
          <w:rFonts w:cs="Times New Roman"/>
        </w:rPr>
      </w:pPr>
      <w:r>
        <w:rPr>
          <w:rFonts w:cs="Times New Roman"/>
        </w:rPr>
        <w:t>4</w:t>
      </w:r>
      <w:r w:rsidR="00A264EC">
        <w:rPr>
          <w:rFonts w:cs="Times New Roman"/>
        </w:rPr>
        <w:t xml:space="preserve">.3. </w:t>
      </w:r>
      <w:r w:rsidR="00A264EC">
        <w:t xml:space="preserve">Закрытие позиций </w:t>
      </w:r>
      <w:r w:rsidR="00A264EC" w:rsidRPr="00F92984">
        <w:rPr>
          <w:rFonts w:cs="Times New Roman"/>
        </w:rPr>
        <w:t xml:space="preserve">не позднее </w:t>
      </w:r>
      <w:r w:rsidR="00AF6F05" w:rsidRPr="00BE30F3">
        <w:rPr>
          <w:iCs/>
        </w:rPr>
        <w:t>ограничительного времени следующе</w:t>
      </w:r>
      <w:r w:rsidR="00AF6F05">
        <w:rPr>
          <w:iCs/>
        </w:rPr>
        <w:t>го</w:t>
      </w:r>
      <w:r w:rsidR="00AF6F05" w:rsidRPr="00BE30F3">
        <w:rPr>
          <w:iCs/>
        </w:rPr>
        <w:t xml:space="preserve"> </w:t>
      </w:r>
      <w:r w:rsidR="00AF6F05">
        <w:rPr>
          <w:iCs/>
        </w:rPr>
        <w:t>торгового</w:t>
      </w:r>
      <w:r w:rsidR="00AF6F05" w:rsidRPr="00BE30F3">
        <w:rPr>
          <w:iCs/>
        </w:rPr>
        <w:t xml:space="preserve"> </w:t>
      </w:r>
      <w:r w:rsidR="00AF6F05">
        <w:rPr>
          <w:iCs/>
        </w:rPr>
        <w:t>дня</w:t>
      </w:r>
      <w:r w:rsidR="00AF6F05" w:rsidRPr="00BE30F3">
        <w:rPr>
          <w:iCs/>
        </w:rPr>
        <w:t xml:space="preserve"> (если стоимость Портфеля стала меньше Минимальной маржи после ограничительного врем</w:t>
      </w:r>
      <w:r w:rsidR="00AF6F05">
        <w:rPr>
          <w:iCs/>
        </w:rPr>
        <w:t>ени закрытия позиций)</w:t>
      </w:r>
      <w:r w:rsidR="00A264EC" w:rsidRPr="00F92984">
        <w:rPr>
          <w:rFonts w:cs="Times New Roman"/>
        </w:rPr>
        <w:t>.</w:t>
      </w:r>
    </w:p>
    <w:p w:rsidR="00A264EC" w:rsidRPr="00F92984" w:rsidRDefault="0089484D" w:rsidP="00A264EC">
      <w:pPr>
        <w:rPr>
          <w:rFonts w:cs="Times New Roman"/>
        </w:rPr>
      </w:pPr>
      <w:r>
        <w:t>4</w:t>
      </w:r>
      <w:r w:rsidR="00A264EC">
        <w:t>.</w:t>
      </w:r>
      <w:r w:rsidR="00AF6F05">
        <w:t>4</w:t>
      </w:r>
      <w:r w:rsidR="00A264EC">
        <w:t>. З</w:t>
      </w:r>
      <w:r w:rsidR="00A264EC" w:rsidRPr="00F22793">
        <w:rPr>
          <w:rFonts w:cs="Times New Roman"/>
        </w:rPr>
        <w:t xml:space="preserve">акрытие позиций осуществляется </w:t>
      </w:r>
      <w:r w:rsidR="00A264EC">
        <w:rPr>
          <w:rFonts w:cs="Times New Roman"/>
        </w:rPr>
        <w:t>Банком</w:t>
      </w:r>
      <w:r w:rsidR="00A264EC" w:rsidRPr="00F22793">
        <w:rPr>
          <w:rFonts w:cs="Times New Roman"/>
        </w:rPr>
        <w:t xml:space="preserve"> за счет средств клиента путем заключения сделок противоположной направленности (продажи активов, принадлежащих клиенту, заключения сделок покупки для закрытия непокрытых позиций клиента). К принудительному закрытию не относятся действия </w:t>
      </w:r>
      <w:r w:rsidR="00A264EC">
        <w:rPr>
          <w:rFonts w:cs="Times New Roman"/>
        </w:rPr>
        <w:t>Банка</w:t>
      </w:r>
      <w:r w:rsidR="00A264EC" w:rsidRPr="00F22793">
        <w:rPr>
          <w:rFonts w:cs="Times New Roman"/>
        </w:rPr>
        <w:t xml:space="preserve">, совершенные на основании поручения клиента, направленного (переданного) </w:t>
      </w:r>
      <w:r w:rsidR="00A264EC">
        <w:rPr>
          <w:rFonts w:cs="Times New Roman"/>
        </w:rPr>
        <w:t>Банку</w:t>
      </w:r>
      <w:r w:rsidR="00A264EC" w:rsidRPr="00F22793">
        <w:rPr>
          <w:rFonts w:cs="Times New Roman"/>
        </w:rPr>
        <w:t xml:space="preserve"> для совершения сделки (заключения договора) за счет клиента, в котором указаны конкретные ценные бумаги и (или) иностранная валюта и их количество.</w:t>
      </w:r>
    </w:p>
    <w:p w:rsidR="00A264EC" w:rsidRDefault="0089484D" w:rsidP="00A264EC">
      <w:pPr>
        <w:rPr>
          <w:rFonts w:cs="Times New Roman"/>
        </w:rPr>
      </w:pPr>
      <w:r>
        <w:t>4</w:t>
      </w:r>
      <w:r w:rsidR="00A264EC">
        <w:t>.</w:t>
      </w:r>
      <w:r w:rsidR="00AF6F05">
        <w:t>5</w:t>
      </w:r>
      <w:r w:rsidR="00A264EC">
        <w:t xml:space="preserve">. </w:t>
      </w:r>
      <w:r w:rsidR="00A264EC" w:rsidRPr="00F92984">
        <w:rPr>
          <w:rFonts w:cs="Times New Roman"/>
        </w:rPr>
        <w:t>Закрытие позиций может осуществляться Банком не на анонимных торгах в случае соблюдения одного из следующих требований:</w:t>
      </w:r>
    </w:p>
    <w:p w:rsidR="00AF6F05" w:rsidRDefault="00A264EC" w:rsidP="00A264EC">
      <w:pPr>
        <w:rPr>
          <w:rFonts w:cs="Times New Roman"/>
        </w:rPr>
      </w:pPr>
      <w:r>
        <w:rPr>
          <w:rFonts w:cs="Times New Roman"/>
        </w:rPr>
        <w:lastRenderedPageBreak/>
        <w:t xml:space="preserve">- </w:t>
      </w:r>
      <w:r w:rsidR="00AF6F05">
        <w:t>покупка ценных бумаг (за исключением облигаций) и (или) драгоценных металлов осуществляется по цене, не превышающей максимальной цены сделки с указанными ценными бумагами и (или) драгоценными металлами, совершенной на анонимных торгах в течение последних 15 минут, предшествующих действиям брокера, направленным на совершение сделки, или, если анонимные торги приостановлены, - в течение последних 15 минут до их приостановления.</w:t>
      </w:r>
      <w:r>
        <w:rPr>
          <w:rFonts w:cs="Times New Roman"/>
        </w:rPr>
        <w:t xml:space="preserve">- </w:t>
      </w:r>
      <w:r w:rsidRPr="00F92984">
        <w:rPr>
          <w:rFonts w:cs="Times New Roman"/>
        </w:rPr>
        <w:t>продажа Ценных бумаг, связанная с закрытием позиций, осуществляется по цене не ниже минимальной цены сделки с такими Ценными бумагами, совершенной на анонимных торгах в течение последних 15 минут, или, если эти торги приостановлены, - в течение последних 15 минут до их приостановления</w:t>
      </w:r>
      <w:r w:rsidR="00AF6F05">
        <w:rPr>
          <w:rFonts w:cs="Times New Roman"/>
        </w:rPr>
        <w:t>;</w:t>
      </w:r>
    </w:p>
    <w:p w:rsidR="00AF6F05" w:rsidRDefault="00AF6F05" w:rsidP="00CF6A62">
      <w:pPr>
        <w:pStyle w:val="ConsPlusNormal"/>
        <w:jc w:val="both"/>
      </w:pPr>
      <w:r>
        <w:t>- покупка облигаций и (или) иностранной валюты осуществляется при соблюдении одного из следующих условий:</w:t>
      </w:r>
      <w:bookmarkStart w:id="5" w:name="P80"/>
      <w:bookmarkEnd w:id="5"/>
    </w:p>
    <w:p w:rsidR="00AF6F05" w:rsidRDefault="00AF6F05" w:rsidP="00CF6A62">
      <w:pPr>
        <w:pStyle w:val="ConsPlusNormal"/>
        <w:ind w:firstLine="284"/>
        <w:jc w:val="both"/>
      </w:pPr>
      <w:r>
        <w:t>покупка осуществляется по цене, не превышающей максимальную цену сделки с указанными облигациями и (или) иностранной валютой, совершенной на анонимных торгах в течение последних 15 минут, предшествующих действиям брокера, направленным на совершение сделки, или, если анонимные торги приостановлены, - в течение последних 15 минут до их приостановления;</w:t>
      </w:r>
    </w:p>
    <w:p w:rsidR="00AF6F05" w:rsidRDefault="00AF6F05" w:rsidP="00CF6A62">
      <w:pPr>
        <w:spacing w:before="0"/>
        <w:ind w:firstLine="284"/>
      </w:pPr>
      <w:bookmarkStart w:id="6" w:name="P81"/>
      <w:bookmarkEnd w:id="6"/>
      <w:r>
        <w:t xml:space="preserve">покупка осуществляется по цене не выше лучшей котировки на продажу указанных облигаций и (или) иностранной валюты, опубликованной в информационной системе </w:t>
      </w:r>
      <w:proofErr w:type="spellStart"/>
      <w:r>
        <w:t>Блумберг</w:t>
      </w:r>
      <w:proofErr w:type="spellEnd"/>
      <w:r>
        <w:t xml:space="preserve"> (</w:t>
      </w:r>
      <w:proofErr w:type="spellStart"/>
      <w:r>
        <w:t>Bloomberg</w:t>
      </w:r>
      <w:proofErr w:type="spellEnd"/>
      <w:r>
        <w:t xml:space="preserve">) или в информационной системе </w:t>
      </w:r>
      <w:proofErr w:type="spellStart"/>
      <w:r>
        <w:t>Рефинитив</w:t>
      </w:r>
      <w:proofErr w:type="spellEnd"/>
      <w:r>
        <w:t xml:space="preserve"> (</w:t>
      </w:r>
      <w:proofErr w:type="spellStart"/>
      <w:r>
        <w:t>Refinitiv</w:t>
      </w:r>
      <w:proofErr w:type="spellEnd"/>
      <w:r>
        <w:t xml:space="preserve">), более чем на величину произведения указанной котировки и одной четвертой начальной ставки риска по облигации (иностранной валюте), предусмотренной п.18 </w:t>
      </w:r>
      <w:r w:rsidR="00AB6738">
        <w:t>П</w:t>
      </w:r>
      <w:r>
        <w:t>риложения</w:t>
      </w:r>
      <w:r w:rsidR="00AB6738">
        <w:t xml:space="preserve"> к Указанию Банка России № 5636-У;</w:t>
      </w:r>
    </w:p>
    <w:p w:rsidR="00AB6738" w:rsidRDefault="00AB6738" w:rsidP="00CF6A62">
      <w:pPr>
        <w:spacing w:before="0"/>
      </w:pPr>
      <w:r>
        <w:t>- п</w:t>
      </w:r>
      <w:r w:rsidRPr="00AB6738">
        <w:t>родажа ценных бумаг (за исключением облигаций) и (или) драгоценных металлов осуществляется по цене не ниже минимальной цены сделки с указанными ценными бумагами и (или) драгоценными металлами, совершенной на анонимных торгах в течение последних 15 минут, предшествующих действиям брокера, направленным на совершение сделки, или, если анонимные торги приостановлены, - в течение последних</w:t>
      </w:r>
      <w:r>
        <w:t xml:space="preserve"> 15 минут до их приостановления;</w:t>
      </w:r>
    </w:p>
    <w:p w:rsidR="00AB6738" w:rsidRDefault="00AB6738" w:rsidP="00CF6A62">
      <w:pPr>
        <w:pStyle w:val="ConsPlusNormal"/>
        <w:spacing w:before="240"/>
        <w:jc w:val="both"/>
      </w:pPr>
      <w:r>
        <w:t>- продажа облигаций и (или) иностранной валюты осуществляется при соблюдении одного из следующих условий:</w:t>
      </w:r>
    </w:p>
    <w:p w:rsidR="00AB6738" w:rsidRDefault="00AB6738" w:rsidP="00CF6A62">
      <w:pPr>
        <w:pStyle w:val="ConsPlusNormal"/>
        <w:ind w:firstLine="284"/>
        <w:jc w:val="both"/>
      </w:pPr>
      <w:bookmarkStart w:id="7" w:name="P85"/>
      <w:bookmarkEnd w:id="7"/>
      <w:r>
        <w:t>продажа осуществляется по цене не ниже минимальной цены сделки с указанными облигациями и (или) иностранной валютой, совершенной на анонимных торгах в течение последних 15 минут, предшествующих действиям брокера, направленным на совершение сделки, или, если анонимные торги приостановлены, - в течение последних 15 минут до их приостановления;</w:t>
      </w:r>
    </w:p>
    <w:p w:rsidR="00AB6738" w:rsidRDefault="00AB6738">
      <w:pPr>
        <w:spacing w:before="0"/>
        <w:ind w:firstLine="284"/>
      </w:pPr>
      <w:bookmarkStart w:id="8" w:name="P86"/>
      <w:bookmarkEnd w:id="8"/>
      <w:r>
        <w:t xml:space="preserve">продажа осуществляется по цене не ниже лучшей котировки на покупку указанных облигаций и (или) иностранной валюты, опубликованной в информационной системе </w:t>
      </w:r>
      <w:proofErr w:type="spellStart"/>
      <w:r>
        <w:t>Блумберг</w:t>
      </w:r>
      <w:proofErr w:type="spellEnd"/>
      <w:r>
        <w:t xml:space="preserve"> (</w:t>
      </w:r>
      <w:proofErr w:type="spellStart"/>
      <w:r>
        <w:t>Bloomberg</w:t>
      </w:r>
      <w:proofErr w:type="spellEnd"/>
      <w:r>
        <w:t xml:space="preserve">) или в информационной системе </w:t>
      </w:r>
      <w:proofErr w:type="spellStart"/>
      <w:r>
        <w:t>Рефинитив</w:t>
      </w:r>
      <w:proofErr w:type="spellEnd"/>
      <w:r>
        <w:t xml:space="preserve"> (</w:t>
      </w:r>
      <w:proofErr w:type="spellStart"/>
      <w:r>
        <w:t>Refinitiv</w:t>
      </w:r>
      <w:proofErr w:type="spellEnd"/>
      <w:r>
        <w:t>), более чем на величину произведения указанной котировки и одной четвертой начальной ставки риска по облигации (иностранной валюте), предусмотренной п.18 Приложения к Указанию Банка России № 5636-У.</w:t>
      </w:r>
    </w:p>
    <w:p w:rsidR="00A264EC" w:rsidRDefault="0089484D" w:rsidP="00CF6A62">
      <w:r>
        <w:t>4</w:t>
      </w:r>
      <w:r w:rsidR="00A264EC">
        <w:t>.</w:t>
      </w:r>
      <w:r w:rsidR="001220C8">
        <w:t>6</w:t>
      </w:r>
      <w:r w:rsidR="00A264EC">
        <w:t>. В отношении клиентов, отнесенных Банком к категории клиентов со стандартным уровнем риска (</w:t>
      </w:r>
      <w:r w:rsidR="009C2577">
        <w:t>К</w:t>
      </w:r>
      <w:r w:rsidR="00A264EC">
        <w:t>СУР), Банк осуществляет закрытие позиций до достижения НПР1 нулевого значения (при положительном значении размера начальной маржи), если иное не предусмотрено договором о брокерском обслуживании.</w:t>
      </w:r>
    </w:p>
    <w:p w:rsidR="00A264EC" w:rsidRDefault="0089484D" w:rsidP="00A264EC">
      <w:pPr>
        <w:pStyle w:val="ConsPlusNormal"/>
        <w:spacing w:before="240"/>
        <w:jc w:val="both"/>
      </w:pPr>
      <w:r>
        <w:t>4</w:t>
      </w:r>
      <w:r w:rsidR="00A264EC">
        <w:t>.</w:t>
      </w:r>
      <w:r w:rsidR="001220C8">
        <w:t>7</w:t>
      </w:r>
      <w:r w:rsidR="00A264EC">
        <w:t>. В отношении клиентов, отнесенных Банком к категории клиентов с повышенным уровнем риска (</w:t>
      </w:r>
      <w:r w:rsidR="009C2577">
        <w:t>К</w:t>
      </w:r>
      <w:r w:rsidR="00A264EC">
        <w:t xml:space="preserve">ПУР), Банк осуществляет закрытие позиций до достижения НПР2 нулевого значения (при положительном значении размера минимальной маржи), если достижение большего </w:t>
      </w:r>
      <w:r w:rsidR="00A264EC">
        <w:lastRenderedPageBreak/>
        <w:t>значения НПР2 не предусмотрено договором о брокерском обслуживании.</w:t>
      </w:r>
    </w:p>
    <w:p w:rsidR="007A085B" w:rsidRPr="00CB5ADD" w:rsidRDefault="0089484D" w:rsidP="002D5E63">
      <w:r>
        <w:t>4</w:t>
      </w:r>
      <w:r w:rsidR="00A264EC">
        <w:t>.</w:t>
      </w:r>
      <w:r w:rsidR="001220C8">
        <w:t>8</w:t>
      </w:r>
      <w:r w:rsidR="00A264EC">
        <w:t xml:space="preserve">. </w:t>
      </w:r>
      <w:r w:rsidR="00A264EC" w:rsidRPr="006B55D2">
        <w:t xml:space="preserve">В случае </w:t>
      </w:r>
      <w:r w:rsidR="00A264EC">
        <w:t>закрытия позиций</w:t>
      </w:r>
      <w:r w:rsidR="00A264EC" w:rsidRPr="006B55D2">
        <w:t xml:space="preserve">, </w:t>
      </w:r>
      <w:r w:rsidR="00A264EC">
        <w:t>Банк</w:t>
      </w:r>
      <w:r w:rsidR="00A264EC" w:rsidRPr="006B55D2">
        <w:t xml:space="preserve"> выбирает инструменты, позиции в которых должны быть сокращены, и определяет размер такого сокращения по каждому инструменту по своему усмотрению. Сокращаться могут позиции как в ценных бумагах и валютах, включенных в список ликвидных инструментов </w:t>
      </w:r>
      <w:r w:rsidR="00A264EC">
        <w:t>Банка</w:t>
      </w:r>
      <w:r w:rsidR="00A264EC" w:rsidRPr="006B55D2">
        <w:t xml:space="preserve">, так и в прочих активах на счете клиента. При этом </w:t>
      </w:r>
      <w:r w:rsidR="00A264EC">
        <w:t>Банк</w:t>
      </w:r>
      <w:r w:rsidR="00A264EC" w:rsidRPr="006B55D2">
        <w:t xml:space="preserve"> по возможности избегает реализации инструментов, которые в текущей рыночной ситуации можно продать в требуемых объемах только с большим дисконтом в цене.</w:t>
      </w:r>
      <w:r w:rsidR="00A264EC">
        <w:t xml:space="preserve"> Действия Банка при закрытии позиций руководствуются принципом: </w:t>
      </w:r>
      <w:r w:rsidR="00A264EC" w:rsidRPr="009C2577">
        <w:t>«сохранение максимально возможной открытой позиции клиента».</w:t>
      </w:r>
    </w:p>
    <w:sectPr w:rsidR="007A085B" w:rsidRPr="00CB5ADD" w:rsidSect="002D5E63">
      <w:footerReference w:type="default" r:id="rId9"/>
      <w:pgSz w:w="11906" w:h="16838"/>
      <w:pgMar w:top="851"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606" w:rsidRDefault="007A5606" w:rsidP="00E30488">
      <w:pPr>
        <w:spacing w:before="0" w:after="0" w:line="240" w:lineRule="auto"/>
      </w:pPr>
      <w:r>
        <w:separator/>
      </w:r>
    </w:p>
  </w:endnote>
  <w:endnote w:type="continuationSeparator" w:id="0">
    <w:p w:rsidR="007A5606" w:rsidRDefault="007A5606" w:rsidP="00E304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86681"/>
      <w:docPartObj>
        <w:docPartGallery w:val="Page Numbers (Bottom of Page)"/>
        <w:docPartUnique/>
      </w:docPartObj>
    </w:sdtPr>
    <w:sdtEndPr/>
    <w:sdtContent>
      <w:p w:rsidR="00E30488" w:rsidRDefault="00E30488">
        <w:pPr>
          <w:pStyle w:val="a8"/>
          <w:jc w:val="right"/>
        </w:pPr>
        <w:r>
          <w:fldChar w:fldCharType="begin"/>
        </w:r>
        <w:r>
          <w:instrText>PAGE   \* MERGEFORMAT</w:instrText>
        </w:r>
        <w:r>
          <w:fldChar w:fldCharType="separate"/>
        </w:r>
        <w:r w:rsidR="004B1043">
          <w:rPr>
            <w:noProof/>
          </w:rPr>
          <w:t>2</w:t>
        </w:r>
        <w:r>
          <w:fldChar w:fldCharType="end"/>
        </w:r>
      </w:p>
    </w:sdtContent>
  </w:sdt>
  <w:p w:rsidR="00E30488" w:rsidRDefault="00E304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606" w:rsidRDefault="007A5606" w:rsidP="00E30488">
      <w:pPr>
        <w:spacing w:before="0" w:after="0" w:line="240" w:lineRule="auto"/>
      </w:pPr>
      <w:r>
        <w:separator/>
      </w:r>
    </w:p>
  </w:footnote>
  <w:footnote w:type="continuationSeparator" w:id="0">
    <w:p w:rsidR="007A5606" w:rsidRDefault="007A5606" w:rsidP="00E3048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E0D0F"/>
    <w:multiLevelType w:val="hybridMultilevel"/>
    <w:tmpl w:val="46C69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037878"/>
    <w:multiLevelType w:val="hybridMultilevel"/>
    <w:tmpl w:val="A6D85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7C875E5"/>
    <w:multiLevelType w:val="hybridMultilevel"/>
    <w:tmpl w:val="4FEEB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65"/>
    <w:rsid w:val="000045CF"/>
    <w:rsid w:val="00070CD7"/>
    <w:rsid w:val="000F4CE0"/>
    <w:rsid w:val="00107EBE"/>
    <w:rsid w:val="001220C8"/>
    <w:rsid w:val="00143AA4"/>
    <w:rsid w:val="00275C30"/>
    <w:rsid w:val="002D5E63"/>
    <w:rsid w:val="00347442"/>
    <w:rsid w:val="003507A7"/>
    <w:rsid w:val="00390017"/>
    <w:rsid w:val="003967A1"/>
    <w:rsid w:val="00422D99"/>
    <w:rsid w:val="00455761"/>
    <w:rsid w:val="004650CD"/>
    <w:rsid w:val="004B1043"/>
    <w:rsid w:val="004C6DF7"/>
    <w:rsid w:val="00502A72"/>
    <w:rsid w:val="005F6480"/>
    <w:rsid w:val="00666F7E"/>
    <w:rsid w:val="007607F0"/>
    <w:rsid w:val="007838AC"/>
    <w:rsid w:val="007A085B"/>
    <w:rsid w:val="007A5606"/>
    <w:rsid w:val="007C444F"/>
    <w:rsid w:val="007F694B"/>
    <w:rsid w:val="00810B24"/>
    <w:rsid w:val="00826A24"/>
    <w:rsid w:val="00864B0F"/>
    <w:rsid w:val="0089484D"/>
    <w:rsid w:val="008B59CD"/>
    <w:rsid w:val="00901BF5"/>
    <w:rsid w:val="009629B8"/>
    <w:rsid w:val="00981803"/>
    <w:rsid w:val="00987665"/>
    <w:rsid w:val="00994074"/>
    <w:rsid w:val="009B38BD"/>
    <w:rsid w:val="009C2577"/>
    <w:rsid w:val="009F2A6D"/>
    <w:rsid w:val="00A164DE"/>
    <w:rsid w:val="00A264EC"/>
    <w:rsid w:val="00A52A2C"/>
    <w:rsid w:val="00A5672A"/>
    <w:rsid w:val="00AA5E39"/>
    <w:rsid w:val="00AB1001"/>
    <w:rsid w:val="00AB6738"/>
    <w:rsid w:val="00AF6F05"/>
    <w:rsid w:val="00B47585"/>
    <w:rsid w:val="00B67FA0"/>
    <w:rsid w:val="00C31538"/>
    <w:rsid w:val="00C95CB8"/>
    <w:rsid w:val="00CB2B19"/>
    <w:rsid w:val="00CB5ADD"/>
    <w:rsid w:val="00CE4BA3"/>
    <w:rsid w:val="00CF6A62"/>
    <w:rsid w:val="00D25257"/>
    <w:rsid w:val="00D47E7F"/>
    <w:rsid w:val="00D5338B"/>
    <w:rsid w:val="00E02D82"/>
    <w:rsid w:val="00E30488"/>
    <w:rsid w:val="00E604F5"/>
    <w:rsid w:val="00E80FC6"/>
    <w:rsid w:val="00F147AA"/>
    <w:rsid w:val="00F34B48"/>
    <w:rsid w:val="00F41252"/>
    <w:rsid w:val="00F43BED"/>
    <w:rsid w:val="00F83A65"/>
    <w:rsid w:val="00FE6494"/>
    <w:rsid w:val="00FF514F"/>
    <w:rsid w:val="00FF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A7328"/>
  <w15:docId w15:val="{DDA66E2B-7982-4BDA-8210-04499A3C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CB8"/>
    <w:pPr>
      <w:spacing w:before="120" w:after="120"/>
      <w:jc w:val="both"/>
    </w:pPr>
    <w:rPr>
      <w:rFonts w:ascii="Times New Roman" w:hAnsi="Times New Roman"/>
      <w:sz w:val="24"/>
    </w:rPr>
  </w:style>
  <w:style w:type="paragraph" w:styleId="1">
    <w:name w:val="heading 1"/>
    <w:basedOn w:val="a"/>
    <w:next w:val="a"/>
    <w:link w:val="10"/>
    <w:uiPriority w:val="9"/>
    <w:qFormat/>
    <w:rsid w:val="002D5E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E63"/>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4C6DF7"/>
    <w:pPr>
      <w:ind w:left="720"/>
      <w:contextualSpacing/>
    </w:pPr>
  </w:style>
  <w:style w:type="paragraph" w:customStyle="1" w:styleId="ConsPlusNormal">
    <w:name w:val="ConsPlusNormal"/>
    <w:rsid w:val="007A085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Balloon Text"/>
    <w:basedOn w:val="a"/>
    <w:link w:val="a5"/>
    <w:uiPriority w:val="99"/>
    <w:semiHidden/>
    <w:unhideWhenUsed/>
    <w:rsid w:val="00FF5A19"/>
    <w:pPr>
      <w:spacing w:before="0"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5A19"/>
    <w:rPr>
      <w:rFonts w:ascii="Segoe UI" w:hAnsi="Segoe UI" w:cs="Segoe UI"/>
      <w:sz w:val="18"/>
      <w:szCs w:val="18"/>
    </w:rPr>
  </w:style>
  <w:style w:type="paragraph" w:styleId="a6">
    <w:name w:val="header"/>
    <w:basedOn w:val="a"/>
    <w:link w:val="a7"/>
    <w:uiPriority w:val="99"/>
    <w:unhideWhenUsed/>
    <w:rsid w:val="00E30488"/>
    <w:pPr>
      <w:tabs>
        <w:tab w:val="center" w:pos="4677"/>
        <w:tab w:val="right" w:pos="9355"/>
      </w:tabs>
      <w:spacing w:before="0" w:after="0" w:line="240" w:lineRule="auto"/>
    </w:pPr>
  </w:style>
  <w:style w:type="character" w:customStyle="1" w:styleId="a7">
    <w:name w:val="Верхний колонтитул Знак"/>
    <w:basedOn w:val="a0"/>
    <w:link w:val="a6"/>
    <w:uiPriority w:val="99"/>
    <w:rsid w:val="00E30488"/>
    <w:rPr>
      <w:rFonts w:ascii="Times New Roman" w:hAnsi="Times New Roman"/>
      <w:sz w:val="24"/>
    </w:rPr>
  </w:style>
  <w:style w:type="paragraph" w:styleId="a8">
    <w:name w:val="footer"/>
    <w:basedOn w:val="a"/>
    <w:link w:val="a9"/>
    <w:uiPriority w:val="99"/>
    <w:unhideWhenUsed/>
    <w:rsid w:val="00E30488"/>
    <w:pPr>
      <w:tabs>
        <w:tab w:val="center" w:pos="4677"/>
        <w:tab w:val="right" w:pos="9355"/>
      </w:tabs>
      <w:spacing w:before="0" w:after="0" w:line="240" w:lineRule="auto"/>
    </w:pPr>
  </w:style>
  <w:style w:type="character" w:customStyle="1" w:styleId="a9">
    <w:name w:val="Нижний колонтитул Знак"/>
    <w:basedOn w:val="a0"/>
    <w:link w:val="a8"/>
    <w:uiPriority w:val="99"/>
    <w:rsid w:val="00E30488"/>
    <w:rPr>
      <w:rFonts w:ascii="Times New Roman" w:hAnsi="Times New Roman"/>
      <w:sz w:val="24"/>
    </w:rPr>
  </w:style>
  <w:style w:type="paragraph" w:styleId="aa">
    <w:name w:val="TOC Heading"/>
    <w:basedOn w:val="1"/>
    <w:next w:val="a"/>
    <w:uiPriority w:val="39"/>
    <w:semiHidden/>
    <w:unhideWhenUsed/>
    <w:qFormat/>
    <w:rsid w:val="00B67FA0"/>
    <w:pPr>
      <w:spacing w:before="480" w:line="276" w:lineRule="auto"/>
      <w:jc w:val="left"/>
      <w:outlineLvl w:val="9"/>
    </w:pPr>
    <w:rPr>
      <w:b/>
      <w:bCs/>
      <w:sz w:val="28"/>
      <w:szCs w:val="28"/>
      <w:lang w:eastAsia="ru-RU"/>
    </w:rPr>
  </w:style>
  <w:style w:type="paragraph" w:styleId="11">
    <w:name w:val="toc 1"/>
    <w:basedOn w:val="a"/>
    <w:next w:val="a"/>
    <w:autoRedefine/>
    <w:uiPriority w:val="39"/>
    <w:unhideWhenUsed/>
    <w:rsid w:val="00B67FA0"/>
    <w:pPr>
      <w:spacing w:after="100"/>
    </w:pPr>
  </w:style>
  <w:style w:type="character" w:styleId="ab">
    <w:name w:val="Hyperlink"/>
    <w:basedOn w:val="a0"/>
    <w:uiPriority w:val="99"/>
    <w:unhideWhenUsed/>
    <w:rsid w:val="00B67F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E686A-AF07-455C-962C-4508F455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2462</Words>
  <Characters>14034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Черепенько Алексей Михайлович</dc:creator>
  <cp:keywords/>
  <dc:description/>
  <cp:lastModifiedBy>Акимова Елена Михайловна</cp:lastModifiedBy>
  <cp:revision>6</cp:revision>
  <dcterms:created xsi:type="dcterms:W3CDTF">2021-05-19T07:34:00Z</dcterms:created>
  <dcterms:modified xsi:type="dcterms:W3CDTF">2021-05-20T09:53:00Z</dcterms:modified>
</cp:coreProperties>
</file>